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C4B" w:rsidRDefault="00915C4B" w:rsidP="003F57B0">
      <w:pPr>
        <w:jc w:val="center"/>
        <w:rPr>
          <w:b/>
          <w:sz w:val="32"/>
          <w:szCs w:val="32"/>
        </w:rPr>
      </w:pPr>
      <w:bookmarkStart w:id="0" w:name="_GoBack"/>
      <w:bookmarkEnd w:id="0"/>
    </w:p>
    <w:p w:rsidR="00915C4B" w:rsidRDefault="00915C4B" w:rsidP="003F57B0">
      <w:pPr>
        <w:jc w:val="center"/>
        <w:rPr>
          <w:b/>
          <w:sz w:val="32"/>
          <w:szCs w:val="32"/>
        </w:rPr>
      </w:pPr>
    </w:p>
    <w:p w:rsidR="00915C4B" w:rsidRDefault="00915C4B" w:rsidP="003F57B0">
      <w:pPr>
        <w:jc w:val="center"/>
        <w:rPr>
          <w:b/>
          <w:sz w:val="32"/>
          <w:szCs w:val="32"/>
        </w:rPr>
      </w:pPr>
    </w:p>
    <w:p w:rsidR="00915C4B" w:rsidRDefault="00915C4B" w:rsidP="003F57B0">
      <w:pPr>
        <w:jc w:val="center"/>
        <w:rPr>
          <w:b/>
          <w:sz w:val="32"/>
          <w:szCs w:val="32"/>
        </w:rPr>
      </w:pPr>
    </w:p>
    <w:p w:rsidR="00915C4B" w:rsidRDefault="00915C4B" w:rsidP="003F57B0">
      <w:pPr>
        <w:jc w:val="center"/>
        <w:rPr>
          <w:b/>
          <w:sz w:val="32"/>
          <w:szCs w:val="32"/>
        </w:rPr>
      </w:pPr>
    </w:p>
    <w:p w:rsidR="003F57B0" w:rsidRDefault="003F57B0" w:rsidP="003F57B0">
      <w:pPr>
        <w:jc w:val="center"/>
        <w:rPr>
          <w:b/>
          <w:sz w:val="32"/>
          <w:szCs w:val="32"/>
        </w:rPr>
      </w:pPr>
      <w:r w:rsidRPr="003F57B0">
        <w:rPr>
          <w:b/>
          <w:sz w:val="32"/>
          <w:szCs w:val="32"/>
        </w:rPr>
        <w:t>The Money View</w:t>
      </w:r>
      <w:r w:rsidR="00484368">
        <w:rPr>
          <w:b/>
          <w:sz w:val="32"/>
          <w:szCs w:val="32"/>
        </w:rPr>
        <w:t>, for Present Times</w:t>
      </w:r>
    </w:p>
    <w:p w:rsidR="00484368" w:rsidRPr="00484368" w:rsidRDefault="00B351FC" w:rsidP="003F57B0">
      <w:pPr>
        <w:jc w:val="center"/>
      </w:pPr>
      <w:r>
        <w:t>April 14</w:t>
      </w:r>
      <w:r w:rsidR="00484368" w:rsidRPr="00484368">
        <w:t>, 2024</w:t>
      </w:r>
    </w:p>
    <w:p w:rsidR="00484368" w:rsidRDefault="00484368" w:rsidP="003F57B0">
      <w:pPr>
        <w:jc w:val="center"/>
      </w:pPr>
      <w:r w:rsidRPr="00484368">
        <w:t>Perry Mehrling</w:t>
      </w:r>
    </w:p>
    <w:p w:rsidR="006E2E9B" w:rsidRDefault="006E2E9B" w:rsidP="003F57B0">
      <w:pPr>
        <w:jc w:val="center"/>
      </w:pPr>
    </w:p>
    <w:p w:rsidR="00D7447E" w:rsidRDefault="00D7447E" w:rsidP="006E2E9B"/>
    <w:p w:rsidR="00D7447E" w:rsidRDefault="00D7447E" w:rsidP="006E2E9B"/>
    <w:p w:rsidR="00D7447E" w:rsidRDefault="00D7447E" w:rsidP="006E2E9B"/>
    <w:p w:rsidR="00D7447E" w:rsidRDefault="00D7447E" w:rsidP="006E2E9B"/>
    <w:p w:rsidR="006E2E9B" w:rsidRPr="00851949" w:rsidRDefault="006E2E9B" w:rsidP="006E2E9B">
      <w:pPr>
        <w:rPr>
          <w:b/>
        </w:rPr>
      </w:pPr>
      <w:r w:rsidRPr="00851949">
        <w:rPr>
          <w:b/>
        </w:rPr>
        <w:t>Table of Contents</w:t>
      </w:r>
    </w:p>
    <w:p w:rsidR="006E2E9B" w:rsidRDefault="006E2E9B" w:rsidP="00851949">
      <w:r>
        <w:t>Introduction</w:t>
      </w:r>
    </w:p>
    <w:p w:rsidR="006E2E9B" w:rsidRDefault="008767B2" w:rsidP="006E2E9B">
      <w:r>
        <w:t>1:</w:t>
      </w:r>
      <w:r>
        <w:tab/>
        <w:t>A Web of Promises to Pay</w:t>
      </w:r>
      <w:r>
        <w:tab/>
      </w:r>
      <w:r>
        <w:tab/>
      </w:r>
      <w:r>
        <w:tab/>
        <w:t>6</w:t>
      </w:r>
    </w:p>
    <w:p w:rsidR="006E2E9B" w:rsidRDefault="006E2E9B" w:rsidP="006E2E9B">
      <w:r>
        <w:t>2:</w:t>
      </w:r>
      <w:r>
        <w:tab/>
        <w:t>The Prices of Money</w:t>
      </w:r>
      <w:r>
        <w:tab/>
      </w:r>
      <w:r>
        <w:tab/>
      </w:r>
      <w:r>
        <w:tab/>
      </w:r>
      <w:r>
        <w:tab/>
        <w:t>25</w:t>
      </w:r>
    </w:p>
    <w:p w:rsidR="006E2E9B" w:rsidRDefault="006E2E9B" w:rsidP="006E2E9B">
      <w:r>
        <w:t>3:</w:t>
      </w:r>
      <w:r>
        <w:tab/>
        <w:t>Managing Money</w:t>
      </w:r>
      <w:r w:rsidR="00E301B3">
        <w:tab/>
      </w:r>
      <w:r w:rsidR="00E301B3">
        <w:tab/>
      </w:r>
      <w:r w:rsidR="00E301B3">
        <w:tab/>
      </w:r>
      <w:r w:rsidR="00E301B3">
        <w:tab/>
      </w:r>
      <w:r w:rsidR="007D76FC">
        <w:t>38</w:t>
      </w:r>
    </w:p>
    <w:p w:rsidR="00D7447E" w:rsidRDefault="00D7447E" w:rsidP="006E2E9B">
      <w:pPr>
        <w:rPr>
          <w:b/>
          <w:sz w:val="32"/>
          <w:szCs w:val="32"/>
        </w:rPr>
      </w:pPr>
      <w:r>
        <w:tab/>
      </w:r>
    </w:p>
    <w:p w:rsidR="00E409BD" w:rsidRDefault="00E409BD">
      <w:pPr>
        <w:rPr>
          <w:b/>
          <w:sz w:val="32"/>
          <w:szCs w:val="32"/>
        </w:rPr>
      </w:pPr>
      <w:r>
        <w:rPr>
          <w:b/>
          <w:sz w:val="32"/>
          <w:szCs w:val="32"/>
        </w:rPr>
        <w:br w:type="page"/>
      </w:r>
    </w:p>
    <w:p w:rsidR="00E409BD" w:rsidRDefault="00E409BD" w:rsidP="00094DEB">
      <w:pPr>
        <w:spacing w:line="360" w:lineRule="auto"/>
        <w:jc w:val="center"/>
        <w:rPr>
          <w:b/>
          <w:sz w:val="28"/>
          <w:szCs w:val="28"/>
        </w:rPr>
      </w:pPr>
      <w:r w:rsidRPr="00E409BD">
        <w:rPr>
          <w:b/>
          <w:sz w:val="32"/>
          <w:szCs w:val="32"/>
        </w:rPr>
        <w:lastRenderedPageBreak/>
        <w:t>Introduction</w:t>
      </w:r>
    </w:p>
    <w:p w:rsidR="00D7447E" w:rsidRDefault="00D7447E" w:rsidP="00E409BD">
      <w:pPr>
        <w:spacing w:line="360" w:lineRule="auto"/>
      </w:pPr>
    </w:p>
    <w:p w:rsidR="00E409BD" w:rsidRDefault="00E409BD" w:rsidP="00E409BD">
      <w:pPr>
        <w:spacing w:line="360" w:lineRule="auto"/>
      </w:pPr>
      <w:r>
        <w:t xml:space="preserve">The “money view” is a credit theory of money, in the language of Schumpeter (1954, 717), who urged such an approach </w:t>
      </w:r>
      <w:r w:rsidR="00553F13">
        <w:t>by contrast to the more familiar</w:t>
      </w:r>
      <w:r>
        <w:t xml:space="preserve"> monetary theories of credit that start from metallic coin or fiat notes.  In a credit theory of money we proceed in the opposite logical direction, on the view that in a developed credit system actual payments in base money are few and exceptional.  </w:t>
      </w:r>
    </w:p>
    <w:p w:rsidR="001D2BF6" w:rsidRDefault="00E409BD" w:rsidP="00E409BD">
      <w:pPr>
        <w:spacing w:line="360" w:lineRule="auto"/>
      </w:pPr>
      <w:r>
        <w:t xml:space="preserve">Schumpeter himself seems to have thought that Leon Walras was engaged in </w:t>
      </w:r>
      <w:r w:rsidR="00E56D85">
        <w:t xml:space="preserve">such a project, and so he </w:t>
      </w:r>
      <w:r>
        <w:t>likely</w:t>
      </w:r>
      <w:r w:rsidR="00E56D85">
        <w:t xml:space="preserve"> would</w:t>
      </w:r>
      <w:r>
        <w:t xml:space="preserve"> have approved the postwar project of “monetary Walrasianism”</w:t>
      </w:r>
      <w:r w:rsidR="001D2BF6">
        <w:t xml:space="preserve"> (Mehrling 1997, 150-156)</w:t>
      </w:r>
      <w:r>
        <w:t xml:space="preserve">, exemplary authors being </w:t>
      </w:r>
      <w:r w:rsidR="001D2BF6">
        <w:t xml:space="preserve">Modigliani (1944), </w:t>
      </w:r>
      <w:r>
        <w:t>Patinkin (1956),</w:t>
      </w:r>
      <w:r w:rsidR="001D2BF6">
        <w:t xml:space="preserve"> and</w:t>
      </w:r>
      <w:r>
        <w:t xml:space="preserve"> Tobin (1969).</w:t>
      </w:r>
      <w:r w:rsidR="001D2BF6">
        <w:rPr>
          <w:rStyle w:val="Appelnotedebasdep"/>
        </w:rPr>
        <w:footnoteReference w:id="1"/>
      </w:r>
      <w:r>
        <w:t xml:space="preserve">  Schumpeter would have approved, but the actual origin of this approach seems to have been</w:t>
      </w:r>
      <w:r w:rsidR="001D70C3">
        <w:t>not Schumpeter himself but rather</w:t>
      </w:r>
      <w:r>
        <w:t xml:space="preserve"> Jacob Marschak</w:t>
      </w:r>
      <w:r w:rsidR="001D2BF6">
        <w:t xml:space="preserve"> (1938)</w:t>
      </w:r>
      <w:r w:rsidR="00553F13">
        <w:t>, starting before the war</w:t>
      </w:r>
      <w:r>
        <w:t xml:space="preserve"> (Mehrling 2010).  The</w:t>
      </w:r>
      <w:r w:rsidR="001D2BF6">
        <w:t xml:space="preserve"> whole</w:t>
      </w:r>
      <w:r>
        <w:t xml:space="preserve"> idea was to integrate value theory and monetary theory (the subtitle of Patinkin’s book) by treating the supply and demand for money analogously to the way we treat the supply and demand for any (other) commodity.  </w:t>
      </w:r>
    </w:p>
    <w:p w:rsidR="00E409BD" w:rsidRDefault="00E409BD" w:rsidP="00E409BD">
      <w:pPr>
        <w:spacing w:line="360" w:lineRule="auto"/>
      </w:pPr>
      <w:r>
        <w:t xml:space="preserve">But it didn’t work, and today the monetary Walrasian project has </w:t>
      </w:r>
      <w:r w:rsidR="001D70C3">
        <w:t xml:space="preserve">largely </w:t>
      </w:r>
      <w:r>
        <w:t>been supplanted by modern finance.</w:t>
      </w:r>
      <w:r w:rsidRPr="00492A64">
        <w:t xml:space="preserve"> </w:t>
      </w:r>
      <w:r>
        <w:t xml:space="preserve">  Just so, the dominant macroeconomic framework today, the so-called Dynamic Stochastic General Equilibrium model, follows finance by constructing an essentially non-monetary model of macroeconomics, with a central bank </w:t>
      </w:r>
      <w:r w:rsidRPr="00492A64">
        <w:rPr>
          <w:u w:val="single"/>
        </w:rPr>
        <w:t>deus ex machina</w:t>
      </w:r>
      <w:r>
        <w:t xml:space="preserve"> added to nail down the price level and the nominal </w:t>
      </w:r>
      <w:r w:rsidR="00553F13">
        <w:t xml:space="preserve">rate of </w:t>
      </w:r>
      <w:r>
        <w:t>interest (Woodford</w:t>
      </w:r>
      <w:r w:rsidR="001D2BF6">
        <w:t xml:space="preserve"> 2003</w:t>
      </w:r>
      <w:r>
        <w:t xml:space="preserve">, </w:t>
      </w:r>
      <w:r w:rsidR="001D2BF6">
        <w:t xml:space="preserve">Castillo-Martinez and </w:t>
      </w:r>
      <w:r>
        <w:t>Reis</w:t>
      </w:r>
      <w:r w:rsidR="001D2BF6">
        <w:t xml:space="preserve"> 2024</w:t>
      </w:r>
      <w:r>
        <w:t xml:space="preserve">).  Whatever we may think of this as a model of the world, it most definitely is not a credit theory of money.   </w:t>
      </w:r>
    </w:p>
    <w:p w:rsidR="00E409BD" w:rsidRDefault="00E409BD" w:rsidP="00E409BD">
      <w:pPr>
        <w:spacing w:line="360" w:lineRule="auto"/>
      </w:pPr>
      <w:r>
        <w:t>A lot of people are unhappy about this, but it is not at all clear how best to proceed.  As Hahn pointed out long ago, the standard formalism for Walrasian general equilibrium, the so-called Arrow-Debreu model, has no place in it for money</w:t>
      </w:r>
      <w:r w:rsidR="00915C4B">
        <w:t xml:space="preserve"> (Hahn</w:t>
      </w:r>
      <w:r w:rsidR="00E56D85">
        <w:t xml:space="preserve"> 1965, 1985</w:t>
      </w:r>
      <w:r w:rsidR="00915C4B">
        <w:t>)</w:t>
      </w:r>
      <w:r>
        <w:t>.  And so we limp along with a varie</w:t>
      </w:r>
      <w:r w:rsidR="00D7447E">
        <w:t>ty of patches and policy models</w:t>
      </w:r>
      <w:r>
        <w:t xml:space="preserve"> of varying usefulness</w:t>
      </w:r>
      <w:r w:rsidR="00D7447E">
        <w:t>, all of them</w:t>
      </w:r>
      <w:r>
        <w:t xml:space="preserve"> lacking fundamental analytical foundations.  The recent Nobel award to Bernanke</w:t>
      </w:r>
      <w:r w:rsidR="001D70C3">
        <w:t xml:space="preserve"> (1983),</w:t>
      </w:r>
      <w:r>
        <w:t xml:space="preserve"> </w:t>
      </w:r>
      <w:r w:rsidR="001D70C3">
        <w:t xml:space="preserve">and </w:t>
      </w:r>
      <w:r>
        <w:t xml:space="preserve">Diamond and Dybvig </w:t>
      </w:r>
      <w:r w:rsidR="001D70C3">
        <w:t xml:space="preserve">(1983), </w:t>
      </w:r>
      <w:r>
        <w:t xml:space="preserve">recognized the most </w:t>
      </w:r>
      <w:r w:rsidR="00E301B3">
        <w:t>popular</w:t>
      </w:r>
      <w:r>
        <w:t xml:space="preserve"> approaches in that vein, but the very fact that the cited papers date from forty years ago, tells you how long we have been limping along in this manner.  </w:t>
      </w:r>
    </w:p>
    <w:p w:rsidR="00E409BD" w:rsidRDefault="00E409BD" w:rsidP="00E409BD">
      <w:pPr>
        <w:spacing w:line="360" w:lineRule="auto"/>
      </w:pPr>
      <w:r>
        <w:t>And meanwhile, the world around us has never been more fundamentally monetary and financial than it is today.  Figure 1 shows cross-border banking claims as they expanded in the run up to the Global Financial Crisis of 2008-2009.  It is a picture of global bank balance sheets bestriding the system of natio</w:t>
      </w:r>
      <w:r w:rsidR="00E56D85">
        <w:t xml:space="preserve">n states, knitting together </w:t>
      </w:r>
      <w:r>
        <w:t>various political “islands” into a single global economic entity.  T</w:t>
      </w:r>
      <w:r w:rsidR="00553F13">
        <w:t>he US, Europe, and Asia/Pacific</w:t>
      </w:r>
      <w:r>
        <w:t xml:space="preserve"> are apparently key nodes of this global entity</w:t>
      </w:r>
      <w:r w:rsidR="00915C4B">
        <w:t>.  N</w:t>
      </w:r>
      <w:r w:rsidR="001D2BF6">
        <w:t>ot</w:t>
      </w:r>
      <w:r w:rsidR="00E56D85">
        <w:t xml:space="preserve">e </w:t>
      </w:r>
      <w:r>
        <w:t xml:space="preserve">that the web of promises to pay goes both ways, </w:t>
      </w:r>
      <w:r w:rsidR="00E301B3">
        <w:t>connecting</w:t>
      </w:r>
      <w:r>
        <w:t xml:space="preserve"> these three disjoint geographical regions into a single integrated entity.  </w:t>
      </w:r>
    </w:p>
    <w:p w:rsidR="00915C4B" w:rsidRDefault="00915C4B" w:rsidP="00E409BD">
      <w:pPr>
        <w:spacing w:line="360" w:lineRule="auto"/>
      </w:pPr>
    </w:p>
    <w:p w:rsidR="00E409BD" w:rsidRDefault="00E409BD" w:rsidP="00E409BD">
      <w:pPr>
        <w:spacing w:line="360" w:lineRule="auto"/>
      </w:pPr>
      <w:r>
        <w:t xml:space="preserve">  </w:t>
      </w:r>
      <w:r>
        <w:rPr>
          <w:noProof/>
        </w:rPr>
        <w:drawing>
          <wp:inline distT="0" distB="0" distL="0" distR="0" wp14:anchorId="65BEC28E" wp14:editId="623AA0AB">
            <wp:extent cx="5821122" cy="4351338"/>
            <wp:effectExtent l="0" t="0" r="8255"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tretch>
                      <a:fillRect/>
                    </a:stretch>
                  </pic:blipFill>
                  <pic:spPr>
                    <a:xfrm>
                      <a:off x="0" y="0"/>
                      <a:ext cx="5821122" cy="4351338"/>
                    </a:xfrm>
                    <a:prstGeom prst="rect">
                      <a:avLst/>
                    </a:prstGeom>
                  </pic:spPr>
                </pic:pic>
              </a:graphicData>
            </a:graphic>
          </wp:inline>
        </w:drawing>
      </w:r>
    </w:p>
    <w:p w:rsidR="00915C4B" w:rsidRDefault="001D2BF6" w:rsidP="00915C4B">
      <w:pPr>
        <w:spacing w:line="360" w:lineRule="auto"/>
      </w:pPr>
      <w:r>
        <w:t>Source:  Avdjiev, McCauley, Shin (2015)</w:t>
      </w:r>
    </w:p>
    <w:p w:rsidR="00915C4B" w:rsidRDefault="00915C4B" w:rsidP="00915C4B">
      <w:pPr>
        <w:spacing w:line="360" w:lineRule="auto"/>
      </w:pPr>
      <w:r>
        <w:t>In retrospect, we can understand the Global Financial Crisis</w:t>
      </w:r>
      <w:r w:rsidR="001D2BF6">
        <w:t xml:space="preserve"> of 2008-9</w:t>
      </w:r>
      <w:r>
        <w:t xml:space="preserve"> as the growing pains of this entity.  At the time it seemed more like the </w:t>
      </w:r>
      <w:r w:rsidR="00E301B3">
        <w:t>death throes</w:t>
      </w:r>
      <w:r>
        <w:t xml:space="preserve">, but what happened </w:t>
      </w:r>
      <w:r w:rsidR="00D7447E">
        <w:t xml:space="preserve">after was </w:t>
      </w:r>
      <w:r>
        <w:t xml:space="preserve">instead the first steps of expansion beyond the Global North core to the Global </w:t>
      </w:r>
      <w:r w:rsidR="001D2BF6">
        <w:t>South periphery:  Latin America</w:t>
      </w:r>
      <w:r>
        <w:t xml:space="preserve">, Emerging Europe, and Africa and the Middle East.  The Zero Interest Rate Policy </w:t>
      </w:r>
      <w:r w:rsidR="001D70C3">
        <w:t xml:space="preserve">(ZIRP) </w:t>
      </w:r>
      <w:r>
        <w:t>in the North, in the aftermath of the GFC, was a crucial driver of this development.  New channels of capital flow, in both directions, w</w:t>
      </w:r>
      <w:r w:rsidR="00E56D85">
        <w:t>ere forged as a consequence of the</w:t>
      </w:r>
      <w:r>
        <w:t xml:space="preserve"> search for positive yield by the Global North, channels that today are experiencing their own stress test as US monetary policy, essentially global monetary policy, is tightening.</w:t>
      </w:r>
    </w:p>
    <w:p w:rsidR="00E409BD" w:rsidRDefault="00E409BD" w:rsidP="00E409BD">
      <w:pPr>
        <w:spacing w:line="360" w:lineRule="auto"/>
      </w:pPr>
      <w:r>
        <w:t xml:space="preserve">The point </w:t>
      </w:r>
      <w:r w:rsidR="00915C4B">
        <w:t xml:space="preserve">to hold on to </w:t>
      </w:r>
      <w:r>
        <w:t>is that th</w:t>
      </w:r>
      <w:r w:rsidR="001D2BF6">
        <w:t>is is what the world looks like</w:t>
      </w:r>
      <w:r>
        <w:t xml:space="preserve"> outside the window, but standard economics lags behind.  Standard theory did not see the crisis coming, and was not much use in fighting it, so central bankers fought it </w:t>
      </w:r>
      <w:r w:rsidR="00553F13">
        <w:t>on their own</w:t>
      </w:r>
      <w:r>
        <w:t>, trying this and that until finally they hit upon something that put a floor on the crisis, namely the $700 billion liquidity swaps between the Fed and other major central banks</w:t>
      </w:r>
      <w:r w:rsidR="001D2BF6">
        <w:t xml:space="preserve"> (Mehrling 2011)</w:t>
      </w:r>
      <w:r>
        <w:t>.  But once the crisis was over, the</w:t>
      </w:r>
      <w:r w:rsidR="00553F13">
        <w:t>se</w:t>
      </w:r>
      <w:r>
        <w:t xml:space="preserve"> emergency measures were put back on the shelf and the pre-crisis analytical frame </w:t>
      </w:r>
      <w:r w:rsidR="001D2BF6">
        <w:t xml:space="preserve">was </w:t>
      </w:r>
      <w:r>
        <w:t>brought back</w:t>
      </w:r>
      <w:r w:rsidR="00915C4B">
        <w:t xml:space="preserve"> out</w:t>
      </w:r>
      <w:r>
        <w:t xml:space="preserve"> into central view, now with various more or less ad hoc frictions to help it fit the data. </w:t>
      </w:r>
      <w:r w:rsidR="00553F13">
        <w:t xml:space="preserve"> And that’s where we are today. </w:t>
      </w:r>
      <w:r>
        <w:t xml:space="preserve"> Again, a lot of people are unhappy about this, but it is not at all clear how else to proceed.</w:t>
      </w:r>
    </w:p>
    <w:p w:rsidR="00E409BD" w:rsidRDefault="00E409BD" w:rsidP="00E409BD">
      <w:pPr>
        <w:spacing w:line="360" w:lineRule="auto"/>
      </w:pPr>
      <w:r>
        <w:t xml:space="preserve">The following chapters are an attempt to sketch a possible alternative course.  </w:t>
      </w:r>
      <w:r w:rsidR="001D2BF6">
        <w:t>In retrospect, m</w:t>
      </w:r>
      <w:r>
        <w:t xml:space="preserve">onetary Walrasianism was a bust, but </w:t>
      </w:r>
      <w:r w:rsidR="00D7447E">
        <w:t>Schumpeter’s</w:t>
      </w:r>
      <w:r>
        <w:t xml:space="preserve"> idea of a credit theory of money was not.  Indeed, in the history of economic thought, such an approach has always had its place, a minority place to be sure, but always a place.  Our task thus is not so much invention</w:t>
      </w:r>
      <w:r w:rsidR="00553F13">
        <w:t xml:space="preserve"> of something new</w:t>
      </w:r>
      <w:r>
        <w:t xml:space="preserve"> as</w:t>
      </w:r>
      <w:r w:rsidR="00553F13">
        <w:t xml:space="preserve"> it is</w:t>
      </w:r>
      <w:r>
        <w:t xml:space="preserve"> archeological re</w:t>
      </w:r>
      <w:r w:rsidR="001D70C3">
        <w:t>covery</w:t>
      </w:r>
      <w:r>
        <w:t xml:space="preserve"> of foundations on which a money view for modern times can be built.  </w:t>
      </w:r>
    </w:p>
    <w:p w:rsidR="00E409BD" w:rsidRDefault="00E409BD" w:rsidP="00E409BD">
      <w:pPr>
        <w:spacing w:line="360" w:lineRule="auto"/>
      </w:pPr>
      <w:r>
        <w:t>For the present author, two such</w:t>
      </w:r>
      <w:r w:rsidR="00D7447E">
        <w:t xml:space="preserve"> archeological</w:t>
      </w:r>
      <w:r>
        <w:t xml:space="preserve"> dig sites have been especially productive.  First there is the British central banking tradition of Bagehot, Hawtrey, Sayers, and Goodhart.  Central bankers issue the means of payment that the </w:t>
      </w:r>
      <w:r w:rsidR="00D7447E">
        <w:t xml:space="preserve">global </w:t>
      </w:r>
      <w:r>
        <w:t>web of promises reference; th</w:t>
      </w:r>
      <w:r w:rsidR="00E56D85">
        <w:t>eir liabilities are</w:t>
      </w:r>
      <w:r>
        <w:t xml:space="preserve"> what </w:t>
      </w:r>
      <w:r w:rsidR="00D7447E">
        <w:t>everyone</w:t>
      </w:r>
      <w:r w:rsidR="001D2BF6">
        <w:t xml:space="preserve"> else</w:t>
      </w:r>
      <w:r w:rsidR="00D7447E">
        <w:t xml:space="preserve"> is</w:t>
      </w:r>
      <w:r>
        <w:t xml:space="preserve"> promis</w:t>
      </w:r>
      <w:r w:rsidR="00D7447E">
        <w:t>ing</w:t>
      </w:r>
      <w:r>
        <w:t xml:space="preserve"> to pay.  </w:t>
      </w:r>
      <w:r w:rsidR="001D2BF6">
        <w:t>This is important because it</w:t>
      </w:r>
      <w:r>
        <w:t xml:space="preserve"> places cent</w:t>
      </w:r>
      <w:r w:rsidR="001D70C3">
        <w:t>ral banks in a position to serve</w:t>
      </w:r>
      <w:r>
        <w:t xml:space="preserve"> as lender</w:t>
      </w:r>
      <w:r w:rsidR="00D7447E">
        <w:t>s of last resort</w:t>
      </w:r>
      <w:r w:rsidR="00915C4B">
        <w:t xml:space="preserve"> when</w:t>
      </w:r>
      <w:r>
        <w:t xml:space="preserve"> the system experiences its periodic growing pains, known as financial crises.  The Bank of England was </w:t>
      </w:r>
      <w:r w:rsidR="00E301B3">
        <w:t xml:space="preserve">the </w:t>
      </w:r>
      <w:r>
        <w:t xml:space="preserve">central bank not only for England but also for the British Empire, and hence the globe.  Not surprisingly, that experience </w:t>
      </w:r>
      <w:r w:rsidR="001D70C3">
        <w:t>produced</w:t>
      </w:r>
      <w:r>
        <w:t xml:space="preserve"> a literature that we can plumb for insights into how our own present global system works.</w:t>
      </w:r>
    </w:p>
    <w:p w:rsidR="00E409BD" w:rsidRDefault="00E409BD" w:rsidP="00E409BD">
      <w:pPr>
        <w:spacing w:line="360" w:lineRule="auto"/>
      </w:pPr>
      <w:r>
        <w:t xml:space="preserve">The second dig site is the American institutionalist tradition of Dunbar, Young, John H. Williams, Minsky, and Kindleberger.  This site is particularly useful precisely because the US for so long had no official central bank, only especially central private bankers </w:t>
      </w:r>
      <w:r w:rsidR="00851949">
        <w:t>operating out of</w:t>
      </w:r>
      <w:r>
        <w:t xml:space="preserve"> New York.  (The Bank of England </w:t>
      </w:r>
      <w:r w:rsidR="00E56D85">
        <w:t xml:space="preserve">also </w:t>
      </w:r>
      <w:r>
        <w:t xml:space="preserve">had its origins as a private bank, but that was already a distant memory by the time of Bagehot.)  The Federal Reserve was created in 1913 as </w:t>
      </w:r>
      <w:r w:rsidR="00915C4B">
        <w:t>a kind of nationalization of that</w:t>
      </w:r>
      <w:r>
        <w:t xml:space="preserve"> pre-existing private system, in an attempt to foster greater domestic stability</w:t>
      </w:r>
      <w:r w:rsidR="001D70C3">
        <w:t>,</w:t>
      </w:r>
      <w:r>
        <w:t xml:space="preserve"> and </w:t>
      </w:r>
      <w:r w:rsidR="00915C4B">
        <w:t>al</w:t>
      </w:r>
      <w:r>
        <w:t>so to limit</w:t>
      </w:r>
      <w:r w:rsidR="001D2BF6">
        <w:t xml:space="preserve"> the transmission of</w:t>
      </w:r>
      <w:r w:rsidR="00851949">
        <w:t xml:space="preserve"> periodic</w:t>
      </w:r>
      <w:r w:rsidR="001D2BF6">
        <w:t xml:space="preserve"> American</w:t>
      </w:r>
      <w:r>
        <w:t xml:space="preserve"> stress</w:t>
      </w:r>
      <w:r w:rsidR="00E301B3">
        <w:t>es</w:t>
      </w:r>
      <w:r>
        <w:t xml:space="preserve"> </w:t>
      </w:r>
      <w:r w:rsidR="001D2BF6">
        <w:t>to</w:t>
      </w:r>
      <w:r>
        <w:t xml:space="preserve"> the international system then operat</w:t>
      </w:r>
      <w:r w:rsidR="00915C4B">
        <w:t>ing</w:t>
      </w:r>
      <w:r>
        <w:t xml:space="preserve"> out of London.  If </w:t>
      </w:r>
      <w:r w:rsidR="00915C4B">
        <w:t xml:space="preserve">historically </w:t>
      </w:r>
      <w:r>
        <w:t>the view from London is the view from the top of the international monetary hierarchy, then the view from New York is</w:t>
      </w:r>
      <w:r w:rsidR="00553F13">
        <w:t xml:space="preserve"> historically</w:t>
      </w:r>
      <w:r>
        <w:t xml:space="preserve"> the view from the bottom which, however reluctantly, in the period from</w:t>
      </w:r>
      <w:r w:rsidR="00915C4B">
        <w:t xml:space="preserve"> the Fed’s</w:t>
      </w:r>
      <w:r>
        <w:t xml:space="preserve"> founding in 1913 to Bretton Woods in 1944</w:t>
      </w:r>
      <w:r w:rsidR="001D2BF6">
        <w:t xml:space="preserve"> eventually emerged itself on</w:t>
      </w:r>
      <w:r>
        <w:t xml:space="preserve"> the top.  Not surprisingly, that experience also </w:t>
      </w:r>
      <w:r w:rsidR="001D70C3">
        <w:t>produced</w:t>
      </w:r>
      <w:r>
        <w:t xml:space="preserve"> a literature that we can plumb for insights into how our own present global system works.</w:t>
      </w:r>
    </w:p>
    <w:p w:rsidR="00E409BD" w:rsidRDefault="00E409BD" w:rsidP="00E409BD">
      <w:pPr>
        <w:spacing w:line="360" w:lineRule="auto"/>
      </w:pPr>
      <w:r>
        <w:t xml:space="preserve">In both cases, </w:t>
      </w:r>
      <w:r w:rsidR="00851949">
        <w:t>our archeological digs</w:t>
      </w:r>
      <w:r>
        <w:t xml:space="preserve"> find a strong credit theory of money tradition, i.e. </w:t>
      </w:r>
      <w:r w:rsidR="00553F13">
        <w:t xml:space="preserve">the </w:t>
      </w:r>
      <w:r>
        <w:t xml:space="preserve">money view.  In the British case, </w:t>
      </w:r>
      <w:r w:rsidR="00553F13">
        <w:t xml:space="preserve">this </w:t>
      </w:r>
      <w:r w:rsidR="001D2BF6">
        <w:t>tradition</w:t>
      </w:r>
      <w:r w:rsidR="00553F13">
        <w:t xml:space="preserve"> </w:t>
      </w:r>
      <w:r>
        <w:t xml:space="preserve">arises from the fact that sterling, not gold, was global money and so </w:t>
      </w:r>
      <w:r w:rsidR="00851949" w:rsidRPr="00851949">
        <w:rPr>
          <w:i/>
        </w:rPr>
        <w:t>de facto</w:t>
      </w:r>
      <w:r w:rsidR="00851949">
        <w:t xml:space="preserve"> </w:t>
      </w:r>
      <w:r>
        <w:t xml:space="preserve">the Bank of England </w:t>
      </w:r>
      <w:r w:rsidR="00094DEB">
        <w:t xml:space="preserve">wound up with </w:t>
      </w:r>
      <w:r>
        <w:t xml:space="preserve">responsibility for managing </w:t>
      </w:r>
      <w:r w:rsidR="00851949">
        <w:t>global money</w:t>
      </w:r>
      <w:r>
        <w:t>.  In the American</w:t>
      </w:r>
      <w:r w:rsidR="00553F13">
        <w:t xml:space="preserve"> case</w:t>
      </w:r>
      <w:r>
        <w:t xml:space="preserve">, </w:t>
      </w:r>
      <w:r w:rsidR="00E56D85">
        <w:t>this</w:t>
      </w:r>
      <w:r w:rsidR="00553F13">
        <w:t xml:space="preserve"> </w:t>
      </w:r>
      <w:r w:rsidR="001D2BF6">
        <w:t>tradition</w:t>
      </w:r>
      <w:r>
        <w:t xml:space="preserve"> arises from the fact that private bank liabi</w:t>
      </w:r>
      <w:r w:rsidR="001D70C3">
        <w:t>lities, not the National Bank</w:t>
      </w:r>
      <w:r>
        <w:t xml:space="preserve"> note inherited from Civil War finance, was domestic money </w:t>
      </w:r>
      <w:r w:rsidR="00851949">
        <w:t xml:space="preserve">and so </w:t>
      </w:r>
      <w:r w:rsidR="00851949" w:rsidRPr="00851949">
        <w:rPr>
          <w:i/>
        </w:rPr>
        <w:t>de facto</w:t>
      </w:r>
      <w:r>
        <w:t xml:space="preserve"> the New York banking consortium </w:t>
      </w:r>
      <w:r w:rsidR="00915C4B">
        <w:t xml:space="preserve">wound up </w:t>
      </w:r>
      <w:r w:rsidR="00E301B3">
        <w:t xml:space="preserve">with </w:t>
      </w:r>
      <w:r w:rsidR="00851949">
        <w:t>responsibility for managing domestic money</w:t>
      </w:r>
      <w:r>
        <w:t>.  Thus, neither the metallic nature of ultimate money (for the British) nor the fiat nature of ultimate money (for the Americans) was the important thing.  The important thing was credit, promises to pay, and the dynamics of the web those promises constructed.</w:t>
      </w:r>
    </w:p>
    <w:p w:rsidR="008767B2" w:rsidRDefault="00E409BD" w:rsidP="00E409BD">
      <w:pPr>
        <w:spacing w:line="360" w:lineRule="auto"/>
      </w:pPr>
      <w:r>
        <w:t xml:space="preserve">And so it is today.  The pages that follow are an attempt </w:t>
      </w:r>
      <w:r w:rsidR="00851949">
        <w:t>to build</w:t>
      </w:r>
      <w:r>
        <w:t xml:space="preserve"> a money view for present times</w:t>
      </w:r>
      <w:r w:rsidR="00E56D85">
        <w:t>,</w:t>
      </w:r>
      <w:r w:rsidR="00E56D85" w:rsidRPr="00E56D85">
        <w:t xml:space="preserve"> </w:t>
      </w:r>
      <w:r w:rsidR="00E56D85">
        <w:t>inspired by these two literatures.</w:t>
      </w:r>
      <w:r>
        <w:t xml:space="preserve">  References to the historical experience of Britain and the US will be few, as also references to the economic literature that tried to make sense of that </w:t>
      </w:r>
      <w:r w:rsidR="008767B2">
        <w:t xml:space="preserve">historical </w:t>
      </w:r>
      <w:r>
        <w:t xml:space="preserve">experience contemporaneously.  Our purpose is to understand today.  The point of this introduction is to pay homage to that historical experience and </w:t>
      </w:r>
      <w:r w:rsidR="001D70C3">
        <w:t xml:space="preserve">to that </w:t>
      </w:r>
      <w:r>
        <w:t xml:space="preserve">historical literature, on which the </w:t>
      </w:r>
      <w:r w:rsidR="00D616EA">
        <w:t>subsequent</w:t>
      </w:r>
      <w:r>
        <w:t xml:space="preserve"> account builds.  </w:t>
      </w:r>
    </w:p>
    <w:p w:rsidR="00E409BD" w:rsidRDefault="00E409BD" w:rsidP="00E409BD">
      <w:pPr>
        <w:spacing w:line="360" w:lineRule="auto"/>
      </w:pPr>
      <w:r>
        <w:t xml:space="preserve">Indeed, the money view presented below was constructed explicitly by looking at present events (as recorded for example in the pages of the </w:t>
      </w:r>
      <w:r w:rsidRPr="0058062B">
        <w:rPr>
          <w:u w:val="single"/>
        </w:rPr>
        <w:t>Financial Times</w:t>
      </w:r>
      <w:r>
        <w:t>) through the lens of the historical British and American literature.  Fifteen years of teaching Economics of Money and Banking got me a certain distance, as recorded in the MOOC filmed in Fall 2012</w:t>
      </w:r>
      <w:r w:rsidR="008767B2">
        <w:t>:  www.coursera.org/learn/money-banking</w:t>
      </w:r>
      <w:r>
        <w:t xml:space="preserve">.  A </w:t>
      </w:r>
      <w:r w:rsidR="008767B2">
        <w:t>further</w:t>
      </w:r>
      <w:r>
        <w:t xml:space="preserve"> decade</w:t>
      </w:r>
      <w:r w:rsidR="008767B2">
        <w:t xml:space="preserve"> of construction</w:t>
      </w:r>
      <w:r>
        <w:t xml:space="preserve">, now using the analytical frame of the MOOC rather than the historical literature, got me to where I am today, as recorded in the pages below.  </w:t>
      </w:r>
    </w:p>
    <w:p w:rsidR="008767B2" w:rsidRDefault="008767B2" w:rsidP="008767B2">
      <w:pPr>
        <w:pStyle w:val="NormalWeb"/>
        <w:spacing w:before="200" w:beforeAutospacing="0" w:after="0" w:afterAutospacing="0" w:line="360" w:lineRule="auto"/>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By contrast with standard approaches, the money view sees the problem</w:t>
      </w:r>
      <w:r w:rsidRPr="00FB4276">
        <w:rPr>
          <w:rFonts w:asciiTheme="minorHAnsi" w:eastAsiaTheme="minorEastAsia" w:hAnsi="Calibri" w:cstheme="minorBidi"/>
          <w:color w:val="000000" w:themeColor="text1"/>
          <w:kern w:val="24"/>
          <w:sz w:val="22"/>
          <w:szCs w:val="22"/>
        </w:rPr>
        <w:t xml:space="preserve"> </w:t>
      </w:r>
      <w:r w:rsidRPr="00FB4276">
        <w:rPr>
          <w:rFonts w:asciiTheme="minorHAnsi" w:eastAsiaTheme="minorEastAsia" w:hAnsi="Calibri" w:cstheme="minorBidi"/>
          <w:color w:val="000000" w:themeColor="text1"/>
          <w:kern w:val="24"/>
          <w:sz w:val="22"/>
          <w:szCs w:val="22"/>
          <w:u w:val="single"/>
        </w:rPr>
        <w:t>not</w:t>
      </w:r>
      <w:r w:rsidRPr="00FB4276">
        <w:rPr>
          <w:rFonts w:asciiTheme="minorHAnsi" w:eastAsiaTheme="minorEastAsia" w:hAnsi="Calibri" w:cstheme="minorBidi"/>
          <w:color w:val="000000" w:themeColor="text1"/>
          <w:kern w:val="24"/>
          <w:sz w:val="22"/>
          <w:szCs w:val="22"/>
        </w:rPr>
        <w:t xml:space="preserve"> </w:t>
      </w:r>
      <w:r>
        <w:rPr>
          <w:rFonts w:asciiTheme="minorHAnsi" w:eastAsiaTheme="minorEastAsia" w:hAnsi="Calibri" w:cstheme="minorBidi"/>
          <w:color w:val="000000" w:themeColor="text1"/>
          <w:kern w:val="24"/>
          <w:sz w:val="22"/>
          <w:szCs w:val="22"/>
        </w:rPr>
        <w:t xml:space="preserve">as a matter of </w:t>
      </w:r>
      <w:r w:rsidRPr="00FB4276">
        <w:rPr>
          <w:rFonts w:asciiTheme="minorHAnsi" w:eastAsiaTheme="minorEastAsia" w:hAnsi="Calibri" w:cstheme="minorBidi"/>
          <w:color w:val="000000" w:themeColor="text1"/>
          <w:kern w:val="24"/>
          <w:sz w:val="22"/>
          <w:szCs w:val="22"/>
        </w:rPr>
        <w:t>incomplete or imperfect markets, but rather</w:t>
      </w:r>
      <w:r>
        <w:rPr>
          <w:rFonts w:asciiTheme="minorHAnsi" w:eastAsiaTheme="minorEastAsia" w:hAnsi="Calibri" w:cstheme="minorBidi"/>
          <w:color w:val="000000" w:themeColor="text1"/>
          <w:kern w:val="24"/>
          <w:sz w:val="22"/>
          <w:szCs w:val="22"/>
        </w:rPr>
        <w:t xml:space="preserve"> as a matter of</w:t>
      </w:r>
      <w:r w:rsidRPr="00FB4276">
        <w:rPr>
          <w:rFonts w:asciiTheme="minorHAnsi" w:eastAsiaTheme="minorEastAsia" w:hAnsi="Calibri" w:cstheme="minorBidi"/>
          <w:color w:val="000000" w:themeColor="text1"/>
          <w:kern w:val="24"/>
          <w:sz w:val="22"/>
          <w:szCs w:val="22"/>
        </w:rPr>
        <w:t xml:space="preserve"> an incomplete and imperfect </w:t>
      </w:r>
      <w:r w:rsidRPr="00FB4276">
        <w:rPr>
          <w:rFonts w:asciiTheme="minorHAnsi" w:eastAsiaTheme="minorEastAsia" w:hAnsi="Calibri" w:cstheme="minorBidi"/>
          <w:color w:val="000000" w:themeColor="text1"/>
          <w:kern w:val="24"/>
          <w:sz w:val="22"/>
          <w:szCs w:val="22"/>
          <w:u w:val="single"/>
        </w:rPr>
        <w:t>theory</w:t>
      </w:r>
      <w:r w:rsidRPr="00FB4276">
        <w:rPr>
          <w:rFonts w:asciiTheme="minorHAnsi" w:eastAsiaTheme="minorEastAsia" w:hAnsi="Calibri" w:cstheme="minorBidi"/>
          <w:color w:val="000000" w:themeColor="text1"/>
          <w:kern w:val="24"/>
          <w:sz w:val="22"/>
          <w:szCs w:val="22"/>
        </w:rPr>
        <w:t xml:space="preserve"> of markets:</w:t>
      </w:r>
      <w:r w:rsidR="001D70C3">
        <w:rPr>
          <w:rStyle w:val="Appelnotedebasdep"/>
          <w:rFonts w:asciiTheme="minorHAnsi" w:eastAsiaTheme="minorEastAsia" w:hAnsi="Calibri" w:cstheme="minorBidi"/>
          <w:color w:val="000000" w:themeColor="text1"/>
          <w:kern w:val="24"/>
          <w:sz w:val="22"/>
          <w:szCs w:val="22"/>
        </w:rPr>
        <w:footnoteReference w:id="2"/>
      </w:r>
    </w:p>
    <w:p w:rsidR="008767B2" w:rsidRPr="00FB4276" w:rsidRDefault="008767B2" w:rsidP="008767B2">
      <w:pPr>
        <w:pStyle w:val="NormalWeb"/>
        <w:spacing w:before="200" w:beforeAutospacing="0" w:after="0" w:afterAutospacing="0" w:line="360" w:lineRule="auto"/>
        <w:rPr>
          <w:sz w:val="22"/>
          <w:szCs w:val="22"/>
        </w:rPr>
      </w:pPr>
    </w:p>
    <w:p w:rsidR="008767B2" w:rsidRPr="00FB4276" w:rsidRDefault="008767B2" w:rsidP="008767B2">
      <w:pPr>
        <w:pStyle w:val="Paragraphedeliste"/>
        <w:numPr>
          <w:ilvl w:val="0"/>
          <w:numId w:val="1"/>
        </w:numPr>
        <w:spacing w:line="360" w:lineRule="auto"/>
        <w:rPr>
          <w:sz w:val="22"/>
          <w:szCs w:val="22"/>
        </w:rPr>
      </w:pPr>
      <w:r w:rsidRPr="00FB4276">
        <w:rPr>
          <w:rFonts w:asciiTheme="minorHAnsi" w:eastAsiaTheme="minorEastAsia" w:hAnsi="Calibri" w:cstheme="minorBidi"/>
          <w:color w:val="000000" w:themeColor="text1"/>
          <w:kern w:val="24"/>
          <w:sz w:val="22"/>
          <w:szCs w:val="22"/>
          <w:u w:val="single"/>
        </w:rPr>
        <w:t>Settlement</w:t>
      </w:r>
      <w:r w:rsidRPr="00FB4276">
        <w:rPr>
          <w:rFonts w:asciiTheme="minorHAnsi" w:eastAsiaTheme="minorEastAsia" w:hAnsi="Calibri" w:cstheme="minorBidi"/>
          <w:color w:val="000000" w:themeColor="text1"/>
          <w:kern w:val="24"/>
          <w:sz w:val="22"/>
          <w:szCs w:val="22"/>
        </w:rPr>
        <w:t>, not (just) relative price, is a key coordinating mechanism for a decentralized market economy.</w:t>
      </w:r>
    </w:p>
    <w:p w:rsidR="008767B2" w:rsidRPr="00484368" w:rsidRDefault="008767B2" w:rsidP="008767B2">
      <w:pPr>
        <w:pStyle w:val="Paragraphedeliste"/>
        <w:numPr>
          <w:ilvl w:val="0"/>
          <w:numId w:val="1"/>
        </w:numPr>
        <w:spacing w:line="360" w:lineRule="auto"/>
        <w:rPr>
          <w:sz w:val="22"/>
          <w:szCs w:val="22"/>
        </w:rPr>
      </w:pPr>
      <w:r w:rsidRPr="00FB4276">
        <w:rPr>
          <w:rFonts w:asciiTheme="minorHAnsi" w:eastAsiaTheme="minorEastAsia" w:hAnsi="Calibri" w:cstheme="minorBidi"/>
          <w:color w:val="000000" w:themeColor="text1"/>
          <w:kern w:val="24"/>
          <w:sz w:val="22"/>
          <w:szCs w:val="22"/>
          <w:u w:val="single"/>
        </w:rPr>
        <w:t>Liquidity</w:t>
      </w:r>
      <w:r w:rsidRPr="00FB4276">
        <w:rPr>
          <w:rFonts w:asciiTheme="minorHAnsi" w:eastAsiaTheme="minorEastAsia" w:hAnsi="Calibri" w:cstheme="minorBidi"/>
          <w:color w:val="000000" w:themeColor="text1"/>
          <w:kern w:val="24"/>
          <w:sz w:val="22"/>
          <w:szCs w:val="22"/>
        </w:rPr>
        <w:t xml:space="preserve"> is not a fre</w:t>
      </w:r>
      <w:r w:rsidR="001D70C3">
        <w:rPr>
          <w:rFonts w:asciiTheme="minorHAnsi" w:eastAsiaTheme="minorEastAsia" w:hAnsi="Calibri" w:cstheme="minorBidi"/>
          <w:color w:val="000000" w:themeColor="text1"/>
          <w:kern w:val="24"/>
          <w:sz w:val="22"/>
          <w:szCs w:val="22"/>
        </w:rPr>
        <w:t>e good,</w:t>
      </w:r>
      <w:r w:rsidRPr="00FB4276">
        <w:rPr>
          <w:rFonts w:asciiTheme="minorHAnsi" w:eastAsiaTheme="minorEastAsia" w:hAnsi="Calibri" w:cstheme="minorBidi"/>
          <w:color w:val="000000" w:themeColor="text1"/>
          <w:kern w:val="24"/>
          <w:sz w:val="22"/>
          <w:szCs w:val="22"/>
        </w:rPr>
        <w:t xml:space="preserve"> not in money markets, not in financial markets, and </w:t>
      </w:r>
      <w:r w:rsidRPr="00851949">
        <w:rPr>
          <w:rFonts w:asciiTheme="minorHAnsi" w:eastAsiaTheme="minorEastAsia" w:hAnsi="Calibri" w:cstheme="minorBidi"/>
          <w:i/>
          <w:color w:val="000000" w:themeColor="text1"/>
          <w:kern w:val="24"/>
          <w:sz w:val="22"/>
          <w:szCs w:val="22"/>
        </w:rPr>
        <w:t>a fortiori</w:t>
      </w:r>
      <w:r w:rsidRPr="00FB4276">
        <w:rPr>
          <w:rFonts w:asciiTheme="minorHAnsi" w:eastAsiaTheme="minorEastAsia" w:hAnsi="Calibri" w:cstheme="minorBidi"/>
          <w:color w:val="000000" w:themeColor="text1"/>
          <w:kern w:val="24"/>
          <w:sz w:val="22"/>
          <w:szCs w:val="22"/>
        </w:rPr>
        <w:t xml:space="preserve"> not in commodity markets or labor markets. </w:t>
      </w:r>
    </w:p>
    <w:p w:rsidR="008767B2" w:rsidRDefault="008767B2" w:rsidP="008767B2">
      <w:pPr>
        <w:spacing w:line="360" w:lineRule="auto"/>
      </w:pPr>
    </w:p>
    <w:p w:rsidR="008767B2" w:rsidRDefault="008767B2" w:rsidP="008767B2">
      <w:pPr>
        <w:spacing w:line="360" w:lineRule="auto"/>
      </w:pPr>
      <w:r>
        <w:t xml:space="preserve">Neither of these ideas plays any substantial role in standard academic economics or finance.   But both are centrally important to banking practitioners, both private and public.  The “money view” outlined below is an attempt to put the rules of thumb and common knowledge of practical bankers into some analytical order, so as to make them visible to standard academic economics and finance.      </w:t>
      </w:r>
    </w:p>
    <w:p w:rsidR="008767B2" w:rsidRPr="00484368" w:rsidRDefault="008767B2" w:rsidP="008767B2">
      <w:pPr>
        <w:spacing w:line="360" w:lineRule="auto"/>
      </w:pPr>
      <w:r>
        <w:t>These ideas are not in standard economics, but they could be, as I hope to demonstrate in the following pages.  And also they should be, as I will be arguing, since the world outside the window is what we need to understand, and these features are essential for understanding that world.  Economics has made a lot of progress by abstracting from them, but for monetary matters they are of the essence and need to be put front and center.</w:t>
      </w:r>
    </w:p>
    <w:p w:rsidR="00E409BD" w:rsidRDefault="00E409BD" w:rsidP="00E409BD">
      <w:pPr>
        <w:spacing w:line="360" w:lineRule="auto"/>
      </w:pPr>
      <w:r>
        <w:br w:type="page"/>
      </w:r>
    </w:p>
    <w:p w:rsidR="0077694A" w:rsidRPr="008767B2" w:rsidRDefault="00094DEB" w:rsidP="008767B2">
      <w:pPr>
        <w:spacing w:line="360" w:lineRule="auto"/>
        <w:jc w:val="center"/>
        <w:rPr>
          <w:b/>
          <w:sz w:val="32"/>
          <w:szCs w:val="32"/>
        </w:rPr>
      </w:pPr>
      <w:r w:rsidRPr="00094DEB">
        <w:rPr>
          <w:b/>
          <w:sz w:val="32"/>
          <w:szCs w:val="32"/>
        </w:rPr>
        <w:t>Chapter 1:  A Web of Promises to Pay</w:t>
      </w:r>
    </w:p>
    <w:p w:rsidR="00C45BB8" w:rsidRDefault="003F57B0" w:rsidP="00E409BD">
      <w:pPr>
        <w:spacing w:line="360" w:lineRule="auto"/>
      </w:pPr>
      <w:r>
        <w:t>The</w:t>
      </w:r>
      <w:r w:rsidR="00094DEB">
        <w:t xml:space="preserve"> key starting point</w:t>
      </w:r>
      <w:r w:rsidR="00E34E19">
        <w:t xml:space="preserve"> is to understand the monetary and financial system </w:t>
      </w:r>
      <w:r w:rsidR="00E34E19" w:rsidRPr="003F57B0">
        <w:rPr>
          <w:u w:val="single"/>
        </w:rPr>
        <w:t>not</w:t>
      </w:r>
      <w:r w:rsidR="00E34E19">
        <w:t xml:space="preserve"> as a specific and separate </w:t>
      </w:r>
      <w:r w:rsidR="00E34E19" w:rsidRPr="00C02A63">
        <w:rPr>
          <w:u w:val="single"/>
        </w:rPr>
        <w:t>sector</w:t>
      </w:r>
      <w:r w:rsidR="00C45BB8">
        <w:t xml:space="preserve"> of the </w:t>
      </w:r>
      <w:r w:rsidR="00E34E19">
        <w:t>economy</w:t>
      </w:r>
      <w:r w:rsidR="00BC5734">
        <w:t xml:space="preserve"> (as in NIPA and even F</w:t>
      </w:r>
      <w:r w:rsidR="00851949">
        <w:t xml:space="preserve">low </w:t>
      </w:r>
      <w:r w:rsidR="00BC5734">
        <w:t>o</w:t>
      </w:r>
      <w:r w:rsidR="00851949">
        <w:t xml:space="preserve">f </w:t>
      </w:r>
      <w:r w:rsidR="00BC5734">
        <w:t>F</w:t>
      </w:r>
      <w:r w:rsidR="00851949">
        <w:t>unds</w:t>
      </w:r>
      <w:r w:rsidR="00BC5734">
        <w:t xml:space="preserve"> accounting)</w:t>
      </w:r>
      <w:r w:rsidR="00E34E19">
        <w:t xml:space="preserve">, but rather as the </w:t>
      </w:r>
      <w:r w:rsidR="00BC5734">
        <w:t xml:space="preserve">foundational </w:t>
      </w:r>
      <w:r w:rsidR="00E34E19" w:rsidRPr="00C02A63">
        <w:rPr>
          <w:u w:val="single"/>
        </w:rPr>
        <w:t>infrastructure</w:t>
      </w:r>
      <w:r w:rsidR="00E34E19">
        <w:t xml:space="preserve"> </w:t>
      </w:r>
      <w:r w:rsidR="00BC5734">
        <w:t xml:space="preserve">of the </w:t>
      </w:r>
      <w:r w:rsidR="00E34E19">
        <w:t>larger economy</w:t>
      </w:r>
      <w:r>
        <w:t>,</w:t>
      </w:r>
      <w:r w:rsidR="00E34E19">
        <w:t xml:space="preserve"> </w:t>
      </w:r>
      <w:r w:rsidR="00BC5734">
        <w:t>in all</w:t>
      </w:r>
      <w:r w:rsidR="00CE2B5E">
        <w:t xml:space="preserve"> of</w:t>
      </w:r>
      <w:r w:rsidR="00BC5734">
        <w:t xml:space="preserve"> its sectors</w:t>
      </w:r>
      <w:r w:rsidR="00E34E19">
        <w:t xml:space="preserve">.  </w:t>
      </w:r>
    </w:p>
    <w:p w:rsidR="00E34E19" w:rsidRDefault="006D64B9" w:rsidP="00E409BD">
      <w:pPr>
        <w:spacing w:line="360" w:lineRule="auto"/>
      </w:pPr>
      <w:r>
        <w:t>Toward that end, we</w:t>
      </w:r>
      <w:r w:rsidR="00BC5734">
        <w:t xml:space="preserve"> begin by imagining </w:t>
      </w:r>
      <w:r w:rsidR="00E34E19">
        <w:t>that the entire</w:t>
      </w:r>
      <w:r w:rsidR="00BC5734">
        <w:t xml:space="preserve"> monetary and financial system is</w:t>
      </w:r>
      <w:r w:rsidR="003F57B0">
        <w:t xml:space="preserve"> one big bank, at which each</w:t>
      </w:r>
      <w:r w:rsidR="00E34E19">
        <w:t xml:space="preserve"> one of us—</w:t>
      </w:r>
      <w:r w:rsidR="003F57B0">
        <w:t>whether household, business</w:t>
      </w:r>
      <w:r w:rsidR="00E34E19">
        <w:t>,</w:t>
      </w:r>
      <w:r w:rsidR="003F57B0">
        <w:t xml:space="preserve"> or government</w:t>
      </w:r>
      <w:r w:rsidR="00E34E19">
        <w:t>—ha</w:t>
      </w:r>
      <w:r w:rsidR="00BC4A7E">
        <w:t>s</w:t>
      </w:r>
      <w:r w:rsidR="00E34E19">
        <w:t xml:space="preserve"> an account.  We might have a positive account</w:t>
      </w:r>
      <w:r w:rsidR="001403D0">
        <w:t xml:space="preserve"> (</w:t>
      </w:r>
      <w:r w:rsidR="00E34E19">
        <w:t>which is a liabi</w:t>
      </w:r>
      <w:r w:rsidR="001403D0">
        <w:t>lity for the bank)</w:t>
      </w:r>
      <w:r w:rsidR="003F57B0">
        <w:t>, holding</w:t>
      </w:r>
      <w:r w:rsidR="00E34E19">
        <w:t xml:space="preserve"> some of it in the form of a demand claim, some in a term accoun</w:t>
      </w:r>
      <w:r w:rsidR="007B6A2B">
        <w:t xml:space="preserve">t bearing interest, and some </w:t>
      </w:r>
      <w:r w:rsidR="00E34E19">
        <w:t>in the form of a long term security (bond or equity) issued by the bank.  Or we might have a negative account</w:t>
      </w:r>
      <w:r w:rsidR="001403D0">
        <w:t xml:space="preserve"> (</w:t>
      </w:r>
      <w:r w:rsidR="00E34E19">
        <w:t>which is an asset for t</w:t>
      </w:r>
      <w:r w:rsidR="001403D0">
        <w:t>he bank)</w:t>
      </w:r>
      <w:r w:rsidR="003F57B0">
        <w:t>,</w:t>
      </w:r>
      <w:r w:rsidR="00E34E19">
        <w:t xml:space="preserve"> some of it perhaps </w:t>
      </w:r>
      <w:r w:rsidR="00484368">
        <w:t>in the</w:t>
      </w:r>
      <w:r w:rsidR="00E34E19">
        <w:t xml:space="preserve"> form of short term revolving credit, some of it longer term as a</w:t>
      </w:r>
      <w:r w:rsidR="001403D0">
        <w:t xml:space="preserve"> loan or</w:t>
      </w:r>
      <w:r w:rsidR="00484368">
        <w:t xml:space="preserve"> bond, and for business</w:t>
      </w:r>
      <w:r w:rsidR="00E34E19">
        <w:t xml:space="preserve"> entities</w:t>
      </w:r>
      <w:r w:rsidR="00484368">
        <w:t xml:space="preserve"> some in the form of</w:t>
      </w:r>
      <w:r w:rsidR="00E34E19">
        <w:t xml:space="preserve"> their own equity.  </w:t>
      </w:r>
      <w:r w:rsidR="00207BA8">
        <w:t>Actually, we might have both</w:t>
      </w:r>
      <w:r w:rsidR="00E301B3">
        <w:t xml:space="preserve"> </w:t>
      </w:r>
      <w:r w:rsidR="008767B2">
        <w:t xml:space="preserve">positive and negative accounts </w:t>
      </w:r>
      <w:r w:rsidR="00E301B3">
        <w:t>and</w:t>
      </w:r>
      <w:r w:rsidR="00207BA8">
        <w:t xml:space="preserve"> it is our gross exposure that matters</w:t>
      </w:r>
      <w:r w:rsidR="00E301B3">
        <w:t xml:space="preserve">; </w:t>
      </w:r>
      <w:r w:rsidR="00207BA8">
        <w:t>we do not net out positive and negative accounts.</w:t>
      </w:r>
    </w:p>
    <w:p w:rsidR="001403D0" w:rsidRDefault="00E34E19" w:rsidP="00E409BD">
      <w:pPr>
        <w:spacing w:line="360" w:lineRule="auto"/>
      </w:pPr>
      <w:r>
        <w:t>The entire bank balanc</w:t>
      </w:r>
      <w:r w:rsidR="00484368">
        <w:t>e sheet is thus made up of time-</w:t>
      </w:r>
      <w:r>
        <w:t>dated promises to pay, of differ</w:t>
      </w:r>
      <w:r w:rsidR="00484368">
        <w:t>ing</w:t>
      </w:r>
      <w:r>
        <w:t xml:space="preserve"> maturities, both on the liability side and on the asset side.  </w:t>
      </w:r>
      <w:r w:rsidR="00C02A63">
        <w:t>And everyone else’s</w:t>
      </w:r>
      <w:r>
        <w:t xml:space="preserve"> balance sheets </w:t>
      </w:r>
      <w:r w:rsidR="00C02A63">
        <w:t>are</w:t>
      </w:r>
      <w:r>
        <w:t xml:space="preserve"> similarly</w:t>
      </w:r>
      <w:r w:rsidR="00C02A63">
        <w:t xml:space="preserve"> made </w:t>
      </w:r>
      <w:r w:rsidR="003F57B0">
        <w:t xml:space="preserve">up </w:t>
      </w:r>
      <w:r w:rsidR="00C02A63">
        <w:t xml:space="preserve">of </w:t>
      </w:r>
      <w:r w:rsidR="00484368">
        <w:t>time-</w:t>
      </w:r>
      <w:r>
        <w:t>dat</w:t>
      </w:r>
      <w:r w:rsidR="00484368">
        <w:t>ed promises to pay, of differing</w:t>
      </w:r>
      <w:r>
        <w:t xml:space="preserve"> maturities, both on the liability side and on the asset side.  </w:t>
      </w:r>
      <w:r w:rsidR="00C02A63">
        <w:t xml:space="preserve">Some </w:t>
      </w:r>
      <w:r w:rsidR="00C45BB8">
        <w:t xml:space="preserve">of us </w:t>
      </w:r>
      <w:r>
        <w:t xml:space="preserve">may be net creditors of the bank, </w:t>
      </w:r>
      <w:r w:rsidR="00C02A63">
        <w:t>and some</w:t>
      </w:r>
      <w:r>
        <w:t xml:space="preserve"> net debtors, but in general </w:t>
      </w:r>
      <w:r w:rsidR="00C02A63">
        <w:t>everyone is both gross creditor</w:t>
      </w:r>
      <w:r w:rsidR="003F57B0">
        <w:t xml:space="preserve"> and gross debtor</w:t>
      </w:r>
      <w:r w:rsidR="00C02A63">
        <w:t xml:space="preserve">.  </w:t>
      </w:r>
      <w:r w:rsidR="003F57B0">
        <w:t xml:space="preserve">For a household, think gross creditor as </w:t>
      </w:r>
      <w:r w:rsidR="001B5A0A">
        <w:t xml:space="preserve">deposit </w:t>
      </w:r>
      <w:r w:rsidR="003F57B0">
        <w:t xml:space="preserve">holder, and gross debtor as mortgage borrower.  </w:t>
      </w:r>
      <w:r w:rsidR="00C02A63">
        <w:t>The</w:t>
      </w:r>
      <w:r>
        <w:t xml:space="preserve"> general case for households is also the general case for businesses and governments.</w:t>
      </w:r>
      <w:r w:rsidR="00663A05">
        <w:t xml:space="preserve">  </w:t>
      </w:r>
    </w:p>
    <w:p w:rsidR="001403D0" w:rsidRDefault="00663A05" w:rsidP="00E409BD">
      <w:pPr>
        <w:spacing w:line="360" w:lineRule="auto"/>
      </w:pPr>
      <w:r>
        <w:t>The point to hold on</w:t>
      </w:r>
      <w:r w:rsidR="00094DEB">
        <w:t xml:space="preserve"> </w:t>
      </w:r>
      <w:r>
        <w:t>to is that</w:t>
      </w:r>
      <w:r w:rsidR="007B6A2B">
        <w:t>,</w:t>
      </w:r>
      <w:r>
        <w:t xml:space="preserve"> in our interface with the one big bank, each of</w:t>
      </w:r>
      <w:r w:rsidR="007B6A2B">
        <w:t xml:space="preserve"> us</w:t>
      </w:r>
      <w:r>
        <w:t xml:space="preserve"> </w:t>
      </w:r>
      <w:r w:rsidR="003F57B0">
        <w:t xml:space="preserve">faces a </w:t>
      </w:r>
      <w:r>
        <w:t>time-dated series of</w:t>
      </w:r>
      <w:r w:rsidR="001B5A0A">
        <w:t xml:space="preserve"> anticipated</w:t>
      </w:r>
      <w:r>
        <w:t xml:space="preserve"> cash flows, </w:t>
      </w:r>
      <w:r w:rsidR="00BC5734">
        <w:t xml:space="preserve">both </w:t>
      </w:r>
      <w:r>
        <w:t>in</w:t>
      </w:r>
      <w:r w:rsidR="00BC5734">
        <w:t>flows</w:t>
      </w:r>
      <w:r>
        <w:t xml:space="preserve"> and out</w:t>
      </w:r>
      <w:r w:rsidR="00BC5734">
        <w:t>flows</w:t>
      </w:r>
      <w:r>
        <w:t>, f</w:t>
      </w:r>
      <w:r w:rsidR="001403D0">
        <w:t xml:space="preserve">rom today on into the future. </w:t>
      </w:r>
      <w:r w:rsidR="00094DEB">
        <w:t xml:space="preserve">  For present purposes, </w:t>
      </w:r>
      <w:r>
        <w:t>take “cash flow” to refer</w:t>
      </w:r>
      <w:r w:rsidR="00C45BB8">
        <w:t xml:space="preserve"> concretely</w:t>
      </w:r>
      <w:r>
        <w:t xml:space="preserve"> to changes in our demand claims on the bank</w:t>
      </w:r>
      <w:r w:rsidR="00BC5734">
        <w:t xml:space="preserve">, call it money or even cash for short, but think of </w:t>
      </w:r>
      <w:r w:rsidR="00094DEB">
        <w:t xml:space="preserve">it </w:t>
      </w:r>
      <w:r w:rsidR="00BC5734">
        <w:t>as a bank deposit account</w:t>
      </w:r>
      <w:r>
        <w:t xml:space="preserve">.  </w:t>
      </w:r>
      <w:r w:rsidR="00094DEB">
        <w:t>For non-banks, c</w:t>
      </w:r>
      <w:r>
        <w:t xml:space="preserve">ash outflow means transferring </w:t>
      </w:r>
      <w:r w:rsidR="003F57B0">
        <w:t xml:space="preserve">present </w:t>
      </w:r>
      <w:r>
        <w:t>holdings of demand claims</w:t>
      </w:r>
      <w:r w:rsidR="008767B2">
        <w:t xml:space="preserve"> to others</w:t>
      </w:r>
      <w:r>
        <w:t xml:space="preserve"> </w:t>
      </w:r>
      <w:r w:rsidR="001B5A0A">
        <w:t>in</w:t>
      </w:r>
      <w:r>
        <w:t xml:space="preserve"> </w:t>
      </w:r>
      <w:r w:rsidR="006D64B9">
        <w:t>settle</w:t>
      </w:r>
      <w:r w:rsidR="001B5A0A">
        <w:t>ment of a</w:t>
      </w:r>
      <w:r>
        <w:t xml:space="preserve"> maturing debt.  </w:t>
      </w:r>
      <w:r w:rsidR="00094DEB">
        <w:t>And c</w:t>
      </w:r>
      <w:r>
        <w:t>ash inflow means accepting holdings of</w:t>
      </w:r>
      <w:r w:rsidR="006D64B9">
        <w:t xml:space="preserve"> demand claims </w:t>
      </w:r>
      <w:r w:rsidR="008767B2">
        <w:t>from</w:t>
      </w:r>
      <w:r w:rsidR="003F57B0">
        <w:t xml:space="preserve"> others </w:t>
      </w:r>
      <w:r w:rsidR="006D64B9">
        <w:t>in settlement</w:t>
      </w:r>
      <w:r w:rsidR="00CE2B5E">
        <w:t xml:space="preserve"> of</w:t>
      </w:r>
      <w:r w:rsidR="006D64B9">
        <w:t xml:space="preserve"> </w:t>
      </w:r>
      <w:r>
        <w:t xml:space="preserve">a </w:t>
      </w:r>
      <w:r w:rsidR="006D64B9">
        <w:t>maturing asset</w:t>
      </w:r>
      <w:r>
        <w:t>.</w:t>
      </w:r>
      <w:r w:rsidR="006D64B9">
        <w:t xml:space="preserve">  </w:t>
      </w:r>
    </w:p>
    <w:p w:rsidR="001403D0" w:rsidRDefault="00C45BB8" w:rsidP="00E409BD">
      <w:pPr>
        <w:spacing w:line="360" w:lineRule="auto"/>
      </w:pPr>
      <w:r>
        <w:t>So far</w:t>
      </w:r>
      <w:r w:rsidR="006D64B9">
        <w:t xml:space="preserve">, </w:t>
      </w:r>
      <w:r w:rsidR="003F57B0">
        <w:t xml:space="preserve">by construction, </w:t>
      </w:r>
      <w:r w:rsidR="006D64B9">
        <w:t>the counterparty for both outflows and inflows is always the bank</w:t>
      </w:r>
      <w:r>
        <w:t>.  B</w:t>
      </w:r>
      <w:r w:rsidR="006D64B9">
        <w:t>ut an immediate extension is to imagine non-banks holding cl</w:t>
      </w:r>
      <w:r w:rsidR="003F57B0">
        <w:t>aims against one another directly</w:t>
      </w:r>
      <w:r w:rsidR="006D64B9">
        <w:t xml:space="preserve">, </w:t>
      </w:r>
      <w:r>
        <w:t xml:space="preserve">again </w:t>
      </w:r>
      <w:r w:rsidR="006D64B9">
        <w:t>both short term and long term, and using bank demand claims to settle with</w:t>
      </w:r>
      <w:r>
        <w:t xml:space="preserve"> </w:t>
      </w:r>
      <w:r w:rsidR="006D64B9">
        <w:t xml:space="preserve">non-bank counterparties at maturity. </w:t>
      </w:r>
      <w:r w:rsidR="001403D0">
        <w:t xml:space="preserve">  </w:t>
      </w:r>
      <w:r w:rsidR="001B5A0A">
        <w:t xml:space="preserve">With this extension, </w:t>
      </w:r>
      <w:r w:rsidR="006D64B9">
        <w:t>Table 1 shows the monetary and financial infrastructure setup so far.</w:t>
      </w:r>
      <w:r w:rsidR="00CE2B5E">
        <w:t xml:space="preserve">  The first line shows the big bank as kind of general intermediary and counterparty for everyone.  The second line shows non-intermediated financial relations between non-banks.  </w:t>
      </w:r>
    </w:p>
    <w:p w:rsidR="00094DEB" w:rsidRDefault="00094DEB" w:rsidP="00E409BD">
      <w:pPr>
        <w:spacing w:line="360" w:lineRule="auto"/>
      </w:pPr>
    </w:p>
    <w:p w:rsidR="00C3175B" w:rsidRPr="001B5A0A" w:rsidRDefault="001B5A0A" w:rsidP="00E409BD">
      <w:pPr>
        <w:spacing w:line="360" w:lineRule="auto"/>
        <w:jc w:val="center"/>
        <w:rPr>
          <w:b/>
        </w:rPr>
      </w:pPr>
      <w:r w:rsidRPr="001B5A0A">
        <w:rPr>
          <w:b/>
        </w:rPr>
        <w:t>Table 1</w:t>
      </w:r>
    </w:p>
    <w:p w:rsidR="00F14CAF" w:rsidRDefault="00F14CAF" w:rsidP="00E409BD">
      <w:pPr>
        <w:spacing w:line="360" w:lineRule="auto"/>
        <w:ind w:left="720" w:firstLine="720"/>
      </w:pPr>
      <w:r>
        <w:t>One Big Bank</w:t>
      </w:r>
      <w:r w:rsidR="001B5A0A">
        <w:t xml:space="preserve"> (Infrastructure)</w:t>
      </w:r>
      <w:r>
        <w:tab/>
      </w:r>
      <w:r>
        <w:tab/>
      </w:r>
      <w:r>
        <w:tab/>
      </w:r>
      <w:r>
        <w:tab/>
        <w:t>Rest of World</w:t>
      </w:r>
    </w:p>
    <w:tbl>
      <w:tblPr>
        <w:tblStyle w:val="Grilledutableau"/>
        <w:tblW w:w="0" w:type="auto"/>
        <w:tblLook w:val="04A0" w:firstRow="1" w:lastRow="0" w:firstColumn="1" w:lastColumn="0" w:noHBand="0" w:noVBand="1"/>
      </w:tblPr>
      <w:tblGrid>
        <w:gridCol w:w="2337"/>
        <w:gridCol w:w="2337"/>
        <w:gridCol w:w="2338"/>
        <w:gridCol w:w="2338"/>
      </w:tblGrid>
      <w:tr w:rsidR="00F14CAF" w:rsidTr="005D2EF2">
        <w:tc>
          <w:tcPr>
            <w:tcW w:w="2337" w:type="dxa"/>
          </w:tcPr>
          <w:p w:rsidR="00F14CAF" w:rsidRDefault="00F14CAF" w:rsidP="00E409BD">
            <w:pPr>
              <w:spacing w:line="360" w:lineRule="auto"/>
            </w:pPr>
            <w:r>
              <w:t>Assets</w:t>
            </w:r>
          </w:p>
        </w:tc>
        <w:tc>
          <w:tcPr>
            <w:tcW w:w="2337" w:type="dxa"/>
          </w:tcPr>
          <w:p w:rsidR="00F14CAF" w:rsidRDefault="00F14CAF" w:rsidP="00E409BD">
            <w:pPr>
              <w:spacing w:line="360" w:lineRule="auto"/>
            </w:pPr>
            <w:r>
              <w:t>Liabilities</w:t>
            </w:r>
          </w:p>
        </w:tc>
        <w:tc>
          <w:tcPr>
            <w:tcW w:w="2338" w:type="dxa"/>
          </w:tcPr>
          <w:p w:rsidR="00F14CAF" w:rsidRDefault="00F14CAF" w:rsidP="00E409BD">
            <w:pPr>
              <w:spacing w:line="360" w:lineRule="auto"/>
            </w:pPr>
            <w:r>
              <w:t>Assets</w:t>
            </w:r>
          </w:p>
        </w:tc>
        <w:tc>
          <w:tcPr>
            <w:tcW w:w="2338" w:type="dxa"/>
          </w:tcPr>
          <w:p w:rsidR="00F14CAF" w:rsidRDefault="00F14CAF" w:rsidP="00E409BD">
            <w:pPr>
              <w:spacing w:line="360" w:lineRule="auto"/>
            </w:pPr>
            <w:r>
              <w:t>Liabilities</w:t>
            </w:r>
          </w:p>
        </w:tc>
      </w:tr>
      <w:tr w:rsidR="00F14CAF" w:rsidTr="005D2EF2">
        <w:tc>
          <w:tcPr>
            <w:tcW w:w="2337" w:type="dxa"/>
          </w:tcPr>
          <w:p w:rsidR="00F14CAF" w:rsidRDefault="00F14CAF" w:rsidP="00E409BD">
            <w:pPr>
              <w:spacing w:line="360" w:lineRule="auto"/>
            </w:pPr>
          </w:p>
          <w:p w:rsidR="00F14CAF" w:rsidRDefault="00F14CAF" w:rsidP="00E409BD">
            <w:pPr>
              <w:spacing w:line="360" w:lineRule="auto"/>
            </w:pPr>
            <w:r>
              <w:t>Short term lending</w:t>
            </w:r>
          </w:p>
          <w:p w:rsidR="00F14CAF" w:rsidRDefault="00F14CAF" w:rsidP="00E409BD">
            <w:pPr>
              <w:spacing w:line="360" w:lineRule="auto"/>
            </w:pPr>
            <w:r>
              <w:t>Long term lending</w:t>
            </w:r>
          </w:p>
          <w:p w:rsidR="00F14CAF" w:rsidRDefault="00F14CAF" w:rsidP="00E409BD">
            <w:pPr>
              <w:spacing w:line="360" w:lineRule="auto"/>
            </w:pPr>
            <w:r>
              <w:t>Equity</w:t>
            </w:r>
          </w:p>
        </w:tc>
        <w:tc>
          <w:tcPr>
            <w:tcW w:w="2337" w:type="dxa"/>
          </w:tcPr>
          <w:p w:rsidR="00F14CAF" w:rsidRDefault="00F14CAF" w:rsidP="00E409BD">
            <w:pPr>
              <w:spacing w:line="360" w:lineRule="auto"/>
            </w:pPr>
            <w:r>
              <w:t>Demand claims</w:t>
            </w:r>
          </w:p>
          <w:p w:rsidR="00F14CAF" w:rsidRDefault="00F14CAF" w:rsidP="00E409BD">
            <w:pPr>
              <w:spacing w:line="360" w:lineRule="auto"/>
            </w:pPr>
            <w:r>
              <w:t>Short term borrowing</w:t>
            </w:r>
          </w:p>
          <w:p w:rsidR="00F14CAF" w:rsidRDefault="00F14CAF" w:rsidP="00E409BD">
            <w:pPr>
              <w:spacing w:line="360" w:lineRule="auto"/>
            </w:pPr>
            <w:r>
              <w:t>Long term borrowing</w:t>
            </w:r>
          </w:p>
          <w:p w:rsidR="00F14CAF" w:rsidRDefault="00F14CAF" w:rsidP="00E409BD">
            <w:pPr>
              <w:spacing w:line="360" w:lineRule="auto"/>
            </w:pPr>
            <w:r>
              <w:t>Bank Equity</w:t>
            </w:r>
          </w:p>
        </w:tc>
        <w:tc>
          <w:tcPr>
            <w:tcW w:w="2338" w:type="dxa"/>
          </w:tcPr>
          <w:p w:rsidR="00F14CAF" w:rsidRDefault="00F14CAF" w:rsidP="00E409BD">
            <w:pPr>
              <w:spacing w:line="360" w:lineRule="auto"/>
            </w:pPr>
            <w:r>
              <w:t>Demand claims</w:t>
            </w:r>
          </w:p>
          <w:p w:rsidR="00F14CAF" w:rsidRDefault="00F14CAF" w:rsidP="00E409BD">
            <w:pPr>
              <w:spacing w:line="360" w:lineRule="auto"/>
            </w:pPr>
            <w:r>
              <w:t>Short term lending</w:t>
            </w:r>
          </w:p>
          <w:p w:rsidR="00F14CAF" w:rsidRDefault="00F14CAF" w:rsidP="00E409BD">
            <w:pPr>
              <w:spacing w:line="360" w:lineRule="auto"/>
            </w:pPr>
            <w:r>
              <w:t>Long term lending</w:t>
            </w:r>
          </w:p>
          <w:p w:rsidR="00F14CAF" w:rsidRDefault="00F14CAF" w:rsidP="00E409BD">
            <w:pPr>
              <w:spacing w:line="360" w:lineRule="auto"/>
            </w:pPr>
            <w:r>
              <w:t>Bank Equity</w:t>
            </w:r>
          </w:p>
        </w:tc>
        <w:tc>
          <w:tcPr>
            <w:tcW w:w="2338" w:type="dxa"/>
          </w:tcPr>
          <w:p w:rsidR="00F14CAF" w:rsidRDefault="00F14CAF" w:rsidP="00E409BD">
            <w:pPr>
              <w:spacing w:line="360" w:lineRule="auto"/>
            </w:pPr>
          </w:p>
          <w:p w:rsidR="00F14CAF" w:rsidRDefault="00F14CAF" w:rsidP="00E409BD">
            <w:pPr>
              <w:spacing w:line="360" w:lineRule="auto"/>
            </w:pPr>
            <w:r>
              <w:t>Short term borrowing</w:t>
            </w:r>
          </w:p>
          <w:p w:rsidR="00F14CAF" w:rsidRDefault="00F14CAF" w:rsidP="00E409BD">
            <w:pPr>
              <w:spacing w:line="360" w:lineRule="auto"/>
            </w:pPr>
            <w:r>
              <w:t>Long term borrowing</w:t>
            </w:r>
          </w:p>
          <w:p w:rsidR="00F14CAF" w:rsidRDefault="00F14CAF" w:rsidP="00E409BD">
            <w:pPr>
              <w:spacing w:line="360" w:lineRule="auto"/>
            </w:pPr>
            <w:r>
              <w:t>Equity</w:t>
            </w:r>
          </w:p>
        </w:tc>
      </w:tr>
      <w:tr w:rsidR="00F14CAF" w:rsidTr="005D2EF2">
        <w:tc>
          <w:tcPr>
            <w:tcW w:w="2337" w:type="dxa"/>
          </w:tcPr>
          <w:p w:rsidR="00F14CAF" w:rsidRDefault="00F14CAF" w:rsidP="00E409BD">
            <w:pPr>
              <w:spacing w:line="360" w:lineRule="auto"/>
            </w:pPr>
          </w:p>
        </w:tc>
        <w:tc>
          <w:tcPr>
            <w:tcW w:w="2337" w:type="dxa"/>
          </w:tcPr>
          <w:p w:rsidR="00F14CAF" w:rsidRDefault="00F14CAF" w:rsidP="00E409BD">
            <w:pPr>
              <w:spacing w:line="360" w:lineRule="auto"/>
            </w:pPr>
          </w:p>
        </w:tc>
        <w:tc>
          <w:tcPr>
            <w:tcW w:w="2338" w:type="dxa"/>
          </w:tcPr>
          <w:p w:rsidR="00F14CAF" w:rsidRDefault="00F14CAF" w:rsidP="00E409BD">
            <w:pPr>
              <w:spacing w:line="360" w:lineRule="auto"/>
            </w:pPr>
            <w:r>
              <w:t>Short term lending</w:t>
            </w:r>
          </w:p>
          <w:p w:rsidR="00F14CAF" w:rsidRDefault="00F14CAF" w:rsidP="00E409BD">
            <w:pPr>
              <w:spacing w:line="360" w:lineRule="auto"/>
            </w:pPr>
            <w:r>
              <w:t>Long term lending</w:t>
            </w:r>
          </w:p>
          <w:p w:rsidR="00F14CAF" w:rsidRDefault="00F14CAF" w:rsidP="00E409BD">
            <w:pPr>
              <w:spacing w:line="360" w:lineRule="auto"/>
            </w:pPr>
            <w:r>
              <w:t>Equity</w:t>
            </w:r>
          </w:p>
        </w:tc>
        <w:tc>
          <w:tcPr>
            <w:tcW w:w="2338" w:type="dxa"/>
          </w:tcPr>
          <w:p w:rsidR="00F14CAF" w:rsidRDefault="00F14CAF" w:rsidP="00E409BD">
            <w:pPr>
              <w:spacing w:line="360" w:lineRule="auto"/>
            </w:pPr>
            <w:r>
              <w:t>Short term borrowing</w:t>
            </w:r>
          </w:p>
          <w:p w:rsidR="00F14CAF" w:rsidRDefault="00F14CAF" w:rsidP="00E409BD">
            <w:pPr>
              <w:spacing w:line="360" w:lineRule="auto"/>
            </w:pPr>
            <w:r>
              <w:t>Long term borrowing</w:t>
            </w:r>
          </w:p>
          <w:p w:rsidR="00F14CAF" w:rsidRDefault="00F14CAF" w:rsidP="00E409BD">
            <w:pPr>
              <w:spacing w:line="360" w:lineRule="auto"/>
            </w:pPr>
            <w:r>
              <w:t>Equity</w:t>
            </w:r>
          </w:p>
        </w:tc>
      </w:tr>
    </w:tbl>
    <w:p w:rsidR="001403D0" w:rsidRDefault="001403D0" w:rsidP="00E409BD">
      <w:pPr>
        <w:spacing w:line="360" w:lineRule="auto"/>
        <w:rPr>
          <w:b/>
        </w:rPr>
      </w:pPr>
    </w:p>
    <w:p w:rsidR="001403D0" w:rsidRDefault="001403D0" w:rsidP="00E409BD">
      <w:pPr>
        <w:spacing w:line="360" w:lineRule="auto"/>
      </w:pPr>
      <w:r>
        <w:t>Gurley and Shaw (1960) famously called the first line</w:t>
      </w:r>
      <w:r w:rsidR="003F57B0">
        <w:t xml:space="preserve"> of this Table</w:t>
      </w:r>
      <w:r>
        <w:t xml:space="preserve"> “indirect finance” and the second line “direct finance”.  Their significant point was that indirect finance is better than direct finance in the sense that the ultimate borrower and the ultimate lender</w:t>
      </w:r>
      <w:r w:rsidR="003F57B0">
        <w:t xml:space="preserve"> (</w:t>
      </w:r>
      <w:r w:rsidR="00C3175B">
        <w:t xml:space="preserve">both </w:t>
      </w:r>
      <w:r w:rsidR="003F57B0">
        <w:t>in Rest of World)</w:t>
      </w:r>
      <w:r>
        <w:t xml:space="preserve"> can be offered different terms, according to what they prefer.  Nothing like this is possible in direct finance, </w:t>
      </w:r>
      <w:r w:rsidR="00681AE0">
        <w:t>however, since</w:t>
      </w:r>
      <w:r>
        <w:t xml:space="preserve"> the terms agreed by the lender are</w:t>
      </w:r>
      <w:r w:rsidR="003F57B0">
        <w:t>,</w:t>
      </w:r>
      <w:r>
        <w:t xml:space="preserve"> by construction</w:t>
      </w:r>
      <w:r w:rsidR="003F57B0">
        <w:t>,</w:t>
      </w:r>
      <w:r>
        <w:t xml:space="preserve"> exactly the terms agreed by the borrower.  We will come back to this point below when we consider institutional </w:t>
      </w:r>
      <w:r w:rsidR="008767B2">
        <w:t xml:space="preserve">differentiation and </w:t>
      </w:r>
      <w:r>
        <w:t>evolution</w:t>
      </w:r>
      <w:r w:rsidR="007B6A2B">
        <w:t xml:space="preserve"> </w:t>
      </w:r>
      <w:r>
        <w:t>with</w:t>
      </w:r>
      <w:r w:rsidR="003F57B0">
        <w:t xml:space="preserve">in this general </w:t>
      </w:r>
      <w:r>
        <w:t>set</w:t>
      </w:r>
      <w:r w:rsidR="003F57B0">
        <w:t>-</w:t>
      </w:r>
      <w:r>
        <w:t>up.</w:t>
      </w:r>
    </w:p>
    <w:p w:rsidR="00681AE0" w:rsidRDefault="00681AE0" w:rsidP="00E409BD">
      <w:pPr>
        <w:spacing w:line="360" w:lineRule="auto"/>
      </w:pPr>
      <w:r>
        <w:t xml:space="preserve">To anticipate, so-called </w:t>
      </w:r>
      <w:r w:rsidR="001B5A0A">
        <w:t>“</w:t>
      </w:r>
      <w:r>
        <w:t>shadow banking</w:t>
      </w:r>
      <w:r w:rsidR="001B5A0A">
        <w:t>” and the “</w:t>
      </w:r>
      <w:r>
        <w:t>global dollar system</w:t>
      </w:r>
      <w:r w:rsidR="001B5A0A">
        <w:t xml:space="preserve">” </w:t>
      </w:r>
      <w:r>
        <w:t xml:space="preserve">will emerge as the </w:t>
      </w:r>
      <w:r w:rsidR="00160031">
        <w:t xml:space="preserve">central </w:t>
      </w:r>
      <w:r>
        <w:t xml:space="preserve">institutional </w:t>
      </w:r>
      <w:r w:rsidR="00160031">
        <w:t xml:space="preserve">features of the present </w:t>
      </w:r>
      <w:r w:rsidR="000A5BA9">
        <w:t>monetary and financial infrastructure</w:t>
      </w:r>
      <w:r w:rsidR="00C3175B">
        <w:t>, features that underlie</w:t>
      </w:r>
      <w:r w:rsidR="00160031">
        <w:t xml:space="preserve"> the present </w:t>
      </w:r>
      <w:r>
        <w:t>globalized form of market production and exchange.  It</w:t>
      </w:r>
      <w:r w:rsidR="00160031">
        <w:t xml:space="preserve"> will take us a wh</w:t>
      </w:r>
      <w:r w:rsidR="001B5A0A">
        <w:t xml:space="preserve">ile to get there, but </w:t>
      </w:r>
      <w:r w:rsidR="00160031">
        <w:t>it</w:t>
      </w:r>
      <w:r>
        <w:t xml:space="preserve"> will be helpful to </w:t>
      </w:r>
      <w:r w:rsidR="000A5BA9">
        <w:t xml:space="preserve">have that ultimate </w:t>
      </w:r>
      <w:r>
        <w:t xml:space="preserve">goal </w:t>
      </w:r>
      <w:r w:rsidR="000A5BA9">
        <w:t xml:space="preserve">in mind from the beginning, hence </w:t>
      </w:r>
      <w:r>
        <w:t>Table 2</w:t>
      </w:r>
      <w:r w:rsidR="000A5BA9">
        <w:t xml:space="preserve"> which should be understood as </w:t>
      </w:r>
      <w:r w:rsidR="00160031">
        <w:t>a</w:t>
      </w:r>
      <w:r w:rsidR="000A5BA9">
        <w:t xml:space="preserve"> </w:t>
      </w:r>
      <w:r w:rsidR="001B5A0A">
        <w:t xml:space="preserve">sketch of the present </w:t>
      </w:r>
      <w:r w:rsidR="000A5BA9">
        <w:t xml:space="preserve">concrete institutional form of the one big bank in </w:t>
      </w:r>
      <w:r>
        <w:t xml:space="preserve">Table 1.  The remainder of this essay can be understood as </w:t>
      </w:r>
      <w:r w:rsidR="001B5A0A">
        <w:t>building out</w:t>
      </w:r>
      <w:r>
        <w:t xml:space="preserve"> the connections between the</w:t>
      </w:r>
      <w:r w:rsidR="00C3175B">
        <w:t>se</w:t>
      </w:r>
      <w:r>
        <w:t xml:space="preserve"> two</w:t>
      </w:r>
      <w:r w:rsidR="00C3175B">
        <w:t xml:space="preserve"> Tables</w:t>
      </w:r>
      <w:r>
        <w:t>.</w:t>
      </w:r>
    </w:p>
    <w:p w:rsidR="00094DEB" w:rsidRDefault="00094DEB" w:rsidP="00E409BD">
      <w:pPr>
        <w:spacing w:line="360" w:lineRule="auto"/>
        <w:jc w:val="center"/>
        <w:rPr>
          <w:b/>
        </w:rPr>
      </w:pPr>
    </w:p>
    <w:p w:rsidR="008767B2" w:rsidRDefault="008767B2" w:rsidP="00E409BD">
      <w:pPr>
        <w:spacing w:line="360" w:lineRule="auto"/>
        <w:jc w:val="center"/>
        <w:rPr>
          <w:b/>
        </w:rPr>
      </w:pPr>
    </w:p>
    <w:p w:rsidR="00681AE0" w:rsidRPr="001B5A0A" w:rsidRDefault="001B5A0A" w:rsidP="00E409BD">
      <w:pPr>
        <w:spacing w:line="360" w:lineRule="auto"/>
        <w:jc w:val="center"/>
        <w:rPr>
          <w:b/>
        </w:rPr>
      </w:pPr>
      <w:r w:rsidRPr="001B5A0A">
        <w:rPr>
          <w:b/>
        </w:rPr>
        <w:t>Table 2</w:t>
      </w:r>
    </w:p>
    <w:p w:rsidR="00681AE0" w:rsidRDefault="00681AE0" w:rsidP="00E409BD">
      <w:pPr>
        <w:spacing w:line="360" w:lineRule="auto"/>
        <w:ind w:left="720" w:firstLine="720"/>
      </w:pPr>
      <w:r>
        <w:t>EME</w:t>
      </w:r>
      <w:r>
        <w:tab/>
      </w:r>
      <w:r>
        <w:tab/>
      </w:r>
      <w:r w:rsidR="000A5BA9">
        <w:tab/>
      </w:r>
      <w:r w:rsidR="000A5BA9">
        <w:tab/>
        <w:t>Japan</w:t>
      </w:r>
      <w:r>
        <w:tab/>
      </w:r>
      <w:r w:rsidR="000A5BA9">
        <w:tab/>
      </w:r>
      <w:r w:rsidR="000A5BA9">
        <w:tab/>
      </w:r>
      <w:r w:rsidR="000A5BA9">
        <w:tab/>
        <w:t>France</w:t>
      </w:r>
    </w:p>
    <w:tbl>
      <w:tblPr>
        <w:tblStyle w:val="Grilledutableau"/>
        <w:tblW w:w="0" w:type="auto"/>
        <w:tblLook w:val="04A0" w:firstRow="1" w:lastRow="0" w:firstColumn="1" w:lastColumn="0" w:noHBand="0" w:noVBand="1"/>
      </w:tblPr>
      <w:tblGrid>
        <w:gridCol w:w="1558"/>
        <w:gridCol w:w="1558"/>
        <w:gridCol w:w="1558"/>
        <w:gridCol w:w="1558"/>
        <w:gridCol w:w="1559"/>
        <w:gridCol w:w="1559"/>
      </w:tblGrid>
      <w:tr w:rsidR="000A5BA9" w:rsidTr="000A5BA9">
        <w:tc>
          <w:tcPr>
            <w:tcW w:w="1558" w:type="dxa"/>
          </w:tcPr>
          <w:p w:rsidR="000A5BA9" w:rsidRDefault="000A5BA9" w:rsidP="00E409BD">
            <w:pPr>
              <w:spacing w:line="360" w:lineRule="auto"/>
            </w:pPr>
            <w:r>
              <w:t>Assets</w:t>
            </w:r>
          </w:p>
        </w:tc>
        <w:tc>
          <w:tcPr>
            <w:tcW w:w="1558" w:type="dxa"/>
          </w:tcPr>
          <w:p w:rsidR="000A5BA9" w:rsidRDefault="000A5BA9" w:rsidP="00E409BD">
            <w:pPr>
              <w:spacing w:line="360" w:lineRule="auto"/>
            </w:pPr>
            <w:r>
              <w:t>Liabilities</w:t>
            </w:r>
          </w:p>
        </w:tc>
        <w:tc>
          <w:tcPr>
            <w:tcW w:w="1558" w:type="dxa"/>
          </w:tcPr>
          <w:p w:rsidR="000A5BA9" w:rsidRDefault="000A5BA9" w:rsidP="00E409BD">
            <w:pPr>
              <w:spacing w:line="360" w:lineRule="auto"/>
            </w:pPr>
            <w:r>
              <w:t>Assets</w:t>
            </w:r>
          </w:p>
        </w:tc>
        <w:tc>
          <w:tcPr>
            <w:tcW w:w="1558" w:type="dxa"/>
          </w:tcPr>
          <w:p w:rsidR="000A5BA9" w:rsidRDefault="000A5BA9" w:rsidP="00E409BD">
            <w:pPr>
              <w:spacing w:line="360" w:lineRule="auto"/>
            </w:pPr>
            <w:r>
              <w:t>Liabilities</w:t>
            </w:r>
          </w:p>
        </w:tc>
        <w:tc>
          <w:tcPr>
            <w:tcW w:w="1559" w:type="dxa"/>
          </w:tcPr>
          <w:p w:rsidR="000A5BA9" w:rsidRDefault="000A5BA9" w:rsidP="00E409BD">
            <w:pPr>
              <w:spacing w:line="360" w:lineRule="auto"/>
            </w:pPr>
            <w:r>
              <w:t>Assets</w:t>
            </w:r>
          </w:p>
        </w:tc>
        <w:tc>
          <w:tcPr>
            <w:tcW w:w="1559" w:type="dxa"/>
          </w:tcPr>
          <w:p w:rsidR="000A5BA9" w:rsidRDefault="000A5BA9" w:rsidP="00E409BD">
            <w:pPr>
              <w:spacing w:line="360" w:lineRule="auto"/>
            </w:pPr>
            <w:r>
              <w:t>Liabilities</w:t>
            </w:r>
          </w:p>
        </w:tc>
      </w:tr>
      <w:tr w:rsidR="000A5BA9" w:rsidTr="000A5BA9">
        <w:tc>
          <w:tcPr>
            <w:tcW w:w="1558" w:type="dxa"/>
          </w:tcPr>
          <w:p w:rsidR="000A5BA9" w:rsidRDefault="000A5BA9" w:rsidP="00E409BD">
            <w:pPr>
              <w:spacing w:line="360" w:lineRule="auto"/>
            </w:pPr>
          </w:p>
          <w:p w:rsidR="000A5BA9" w:rsidRDefault="000A5BA9" w:rsidP="00E409BD">
            <w:pPr>
              <w:spacing w:line="360" w:lineRule="auto"/>
            </w:pPr>
          </w:p>
          <w:p w:rsidR="000A5BA9" w:rsidRPr="00BC4A7E" w:rsidRDefault="000A5BA9" w:rsidP="00E409BD">
            <w:pPr>
              <w:spacing w:line="360" w:lineRule="auto"/>
            </w:pPr>
            <w:r w:rsidRPr="00BC4A7E">
              <w:t>$ deposits</w:t>
            </w:r>
          </w:p>
        </w:tc>
        <w:tc>
          <w:tcPr>
            <w:tcW w:w="1558" w:type="dxa"/>
          </w:tcPr>
          <w:p w:rsidR="000A5BA9" w:rsidRPr="000A5BA9" w:rsidRDefault="000A5BA9" w:rsidP="00E409BD">
            <w:pPr>
              <w:spacing w:line="360" w:lineRule="auto"/>
              <w:rPr>
                <w:b/>
              </w:rPr>
            </w:pPr>
            <w:r w:rsidRPr="000A5BA9">
              <w:rPr>
                <w:b/>
              </w:rPr>
              <w:t>$ bonds</w:t>
            </w:r>
          </w:p>
        </w:tc>
        <w:tc>
          <w:tcPr>
            <w:tcW w:w="1558" w:type="dxa"/>
          </w:tcPr>
          <w:p w:rsidR="000A5BA9" w:rsidRPr="000A5BA9" w:rsidRDefault="000A5BA9" w:rsidP="00E409BD">
            <w:pPr>
              <w:spacing w:line="360" w:lineRule="auto"/>
              <w:rPr>
                <w:b/>
              </w:rPr>
            </w:pPr>
            <w:r w:rsidRPr="000A5BA9">
              <w:rPr>
                <w:b/>
              </w:rPr>
              <w:t>$ bonds</w:t>
            </w:r>
          </w:p>
          <w:p w:rsidR="000A5BA9" w:rsidRDefault="000A5BA9" w:rsidP="00E409BD">
            <w:pPr>
              <w:spacing w:line="360" w:lineRule="auto"/>
            </w:pPr>
          </w:p>
          <w:p w:rsidR="000A5BA9" w:rsidRDefault="000A5BA9" w:rsidP="00E409BD">
            <w:pPr>
              <w:spacing w:line="360" w:lineRule="auto"/>
              <w:rPr>
                <w:rFonts w:cstheme="minorHAnsi"/>
              </w:rPr>
            </w:pPr>
          </w:p>
          <w:p w:rsidR="000A5BA9" w:rsidRDefault="000A5BA9" w:rsidP="00E409BD">
            <w:pPr>
              <w:spacing w:line="360" w:lineRule="auto"/>
            </w:pPr>
            <w:r>
              <w:rPr>
                <w:rFonts w:cstheme="minorHAnsi"/>
              </w:rPr>
              <w:t>¥</w:t>
            </w:r>
            <w:r>
              <w:t xml:space="preserve">/$ </w:t>
            </w:r>
            <w:r w:rsidR="00094DEB">
              <w:t xml:space="preserve"> FX </w:t>
            </w:r>
            <w:r>
              <w:t>basis swaps</w:t>
            </w:r>
          </w:p>
        </w:tc>
        <w:tc>
          <w:tcPr>
            <w:tcW w:w="1558" w:type="dxa"/>
          </w:tcPr>
          <w:p w:rsidR="000A5BA9" w:rsidRDefault="000A5BA9" w:rsidP="00E409BD">
            <w:pPr>
              <w:spacing w:line="360" w:lineRule="auto"/>
            </w:pPr>
            <w:r>
              <w:rPr>
                <w:rFonts w:cstheme="minorHAnsi"/>
              </w:rPr>
              <w:t xml:space="preserve">¥ </w:t>
            </w:r>
            <w:r>
              <w:t>deposits</w:t>
            </w:r>
          </w:p>
          <w:p w:rsidR="000A5BA9" w:rsidRPr="000A5BA9" w:rsidRDefault="000A5BA9" w:rsidP="00E409BD">
            <w:pPr>
              <w:spacing w:line="360" w:lineRule="auto"/>
              <w:rPr>
                <w:b/>
              </w:rPr>
            </w:pPr>
            <w:r w:rsidRPr="000A5BA9">
              <w:rPr>
                <w:b/>
              </w:rPr>
              <w:t>$ term funding</w:t>
            </w:r>
          </w:p>
        </w:tc>
        <w:tc>
          <w:tcPr>
            <w:tcW w:w="1559" w:type="dxa"/>
          </w:tcPr>
          <w:p w:rsidR="000A5BA9" w:rsidRDefault="000A5BA9" w:rsidP="00E409BD">
            <w:pPr>
              <w:spacing w:line="360" w:lineRule="auto"/>
            </w:pPr>
          </w:p>
          <w:p w:rsidR="000A5BA9" w:rsidRPr="000A5BA9" w:rsidRDefault="000A5BA9" w:rsidP="00E409BD">
            <w:pPr>
              <w:spacing w:line="360" w:lineRule="auto"/>
              <w:rPr>
                <w:b/>
              </w:rPr>
            </w:pPr>
            <w:r w:rsidRPr="000A5BA9">
              <w:rPr>
                <w:b/>
              </w:rPr>
              <w:t>$</w:t>
            </w:r>
            <w:r>
              <w:rPr>
                <w:b/>
              </w:rPr>
              <w:t xml:space="preserve"> </w:t>
            </w:r>
            <w:r w:rsidRPr="000A5BA9">
              <w:rPr>
                <w:b/>
              </w:rPr>
              <w:t>term funding</w:t>
            </w:r>
          </w:p>
          <w:p w:rsidR="000A5BA9" w:rsidRDefault="000A5BA9" w:rsidP="00E409BD">
            <w:pPr>
              <w:spacing w:line="360" w:lineRule="auto"/>
            </w:pPr>
          </w:p>
          <w:p w:rsidR="000A5BA9" w:rsidRDefault="000A5BA9" w:rsidP="00E409BD">
            <w:pPr>
              <w:spacing w:line="360" w:lineRule="auto"/>
            </w:pPr>
            <w:r>
              <w:rPr>
                <w:rFonts w:cstheme="minorHAnsi"/>
              </w:rPr>
              <w:t>€</w:t>
            </w:r>
            <w:r>
              <w:t>/$ FX swaps</w:t>
            </w:r>
          </w:p>
        </w:tc>
        <w:tc>
          <w:tcPr>
            <w:tcW w:w="1559" w:type="dxa"/>
          </w:tcPr>
          <w:p w:rsidR="000A5BA9" w:rsidRDefault="000A5BA9" w:rsidP="00E409BD">
            <w:pPr>
              <w:spacing w:line="360" w:lineRule="auto"/>
            </w:pPr>
            <w:r>
              <w:rPr>
                <w:rFonts w:cstheme="minorHAnsi"/>
              </w:rPr>
              <w:t>€</w:t>
            </w:r>
            <w:r>
              <w:t xml:space="preserve"> deposits</w:t>
            </w:r>
          </w:p>
          <w:p w:rsidR="000A5BA9" w:rsidRDefault="000A5BA9" w:rsidP="00E409BD">
            <w:pPr>
              <w:spacing w:line="360" w:lineRule="auto"/>
            </w:pPr>
          </w:p>
          <w:p w:rsidR="000A5BA9" w:rsidRPr="000A5BA9" w:rsidRDefault="000A5BA9" w:rsidP="00E409BD">
            <w:pPr>
              <w:spacing w:line="360" w:lineRule="auto"/>
              <w:rPr>
                <w:b/>
              </w:rPr>
            </w:pPr>
            <w:r w:rsidRPr="000A5BA9">
              <w:rPr>
                <w:b/>
              </w:rPr>
              <w:t>$ deposits</w:t>
            </w:r>
          </w:p>
        </w:tc>
      </w:tr>
    </w:tbl>
    <w:p w:rsidR="001403D0" w:rsidRDefault="001403D0" w:rsidP="00E409BD">
      <w:pPr>
        <w:spacing w:line="360" w:lineRule="auto"/>
      </w:pPr>
    </w:p>
    <w:p w:rsidR="008C214B" w:rsidRDefault="00D978EA" w:rsidP="00E409BD">
      <w:pPr>
        <w:spacing w:line="360" w:lineRule="auto"/>
      </w:pPr>
      <w:r>
        <w:t>Depicted in bold</w:t>
      </w:r>
      <w:r w:rsidR="00094DEB">
        <w:t>face</w:t>
      </w:r>
      <w:r>
        <w:t xml:space="preserve"> is the globalized form of </w:t>
      </w:r>
      <w:r w:rsidR="00094DEB">
        <w:t>“</w:t>
      </w:r>
      <w:r>
        <w:t>shadow banking</w:t>
      </w:r>
      <w:r w:rsidR="00094DEB">
        <w:t>”</w:t>
      </w:r>
      <w:r w:rsidR="001B5A0A">
        <w:t>—money market funding of capital market lending--</w:t>
      </w:r>
      <w:r>
        <w:t>in which emergin</w:t>
      </w:r>
      <w:r w:rsidR="00160031">
        <w:t>g market economies (EMEs) issue</w:t>
      </w:r>
      <w:r>
        <w:t xml:space="preserve"> long term dollar-denominated promises to pay, which are funded </w:t>
      </w:r>
      <w:r w:rsidR="00094DEB">
        <w:t>on the margin</w:t>
      </w:r>
      <w:r w:rsidR="00D616EA">
        <w:t xml:space="preserve"> by Japanese issue</w:t>
      </w:r>
      <w:r>
        <w:t xml:space="preserve"> of dollar-denominated </w:t>
      </w:r>
      <w:r w:rsidR="00C3175B">
        <w:t xml:space="preserve">short term </w:t>
      </w:r>
      <w:r>
        <w:t>promises to pay, which</w:t>
      </w:r>
      <w:r w:rsidR="00527EA7">
        <w:t xml:space="preserve"> </w:t>
      </w:r>
      <w:r>
        <w:t xml:space="preserve">are themselves funded </w:t>
      </w:r>
      <w:r w:rsidR="008C214B">
        <w:t xml:space="preserve">on the margin </w:t>
      </w:r>
      <w:r w:rsidR="00D616EA">
        <w:t>by French issue</w:t>
      </w:r>
      <w:r>
        <w:t xml:space="preserve"> of dollar-denominated demand claims</w:t>
      </w:r>
      <w:r w:rsidR="00BC4A7E">
        <w:t xml:space="preserve"> (Aldasoro and Ehlers 2018)</w:t>
      </w:r>
      <w:r>
        <w:t xml:space="preserve">.  </w:t>
      </w:r>
    </w:p>
    <w:p w:rsidR="00D978EA" w:rsidRDefault="00BC4A7E" w:rsidP="00E409BD">
      <w:pPr>
        <w:spacing w:line="360" w:lineRule="auto"/>
      </w:pPr>
      <w:r>
        <w:t xml:space="preserve">Note </w:t>
      </w:r>
      <w:r w:rsidR="00D616EA">
        <w:t>further</w:t>
      </w:r>
      <w:r>
        <w:t xml:space="preserve"> that a</w:t>
      </w:r>
      <w:r w:rsidR="00D978EA">
        <w:t xml:space="preserve">ll of this is in dollars, the global </w:t>
      </w:r>
      <w:r w:rsidR="008C214B">
        <w:t>“</w:t>
      </w:r>
      <w:r w:rsidR="00D978EA">
        <w:t>key currency</w:t>
      </w:r>
      <w:r w:rsidR="008C214B">
        <w:t>”</w:t>
      </w:r>
      <w:r w:rsidR="00D978EA">
        <w:t xml:space="preserve">, </w:t>
      </w:r>
      <w:r w:rsidR="008C214B">
        <w:t>which</w:t>
      </w:r>
      <w:r w:rsidR="00D978EA">
        <w:t xml:space="preserve"> poses a problem for the countries</w:t>
      </w:r>
      <w:r w:rsidR="001B5A0A">
        <w:t xml:space="preserve"> involved</w:t>
      </w:r>
      <w:r w:rsidR="00D978EA">
        <w:t xml:space="preserve"> because they all have non-dollar native currencies, specifically yen for Japan and the euro for France and perhaps we could say “peso” generically for the EME.  </w:t>
      </w:r>
      <w:r>
        <w:t>The Table shows Japan and France using</w:t>
      </w:r>
      <w:r w:rsidR="00D978EA">
        <w:t xml:space="preserve"> yen and euro FX swaps</w:t>
      </w:r>
      <w:r w:rsidR="008767B2">
        <w:t xml:space="preserve"> </w:t>
      </w:r>
      <w:r w:rsidR="00D978EA">
        <w:t>to m</w:t>
      </w:r>
      <w:r w:rsidR="00FC6A50">
        <w:t xml:space="preserve">anage the </w:t>
      </w:r>
      <w:r w:rsidR="00160031">
        <w:t>exchange risk they face</w:t>
      </w:r>
      <w:r w:rsidR="00D978EA">
        <w:t>.   And</w:t>
      </w:r>
      <w:r>
        <w:t xml:space="preserve"> it shows the EME using</w:t>
      </w:r>
      <w:r w:rsidR="001B5A0A">
        <w:t xml:space="preserve"> owned</w:t>
      </w:r>
      <w:r w:rsidR="00D978EA">
        <w:t xml:space="preserve"> dollar reserves to ensure </w:t>
      </w:r>
      <w:r w:rsidR="00D616EA">
        <w:t xml:space="preserve">their </w:t>
      </w:r>
      <w:r w:rsidR="00D978EA">
        <w:t>ability to make regular dollar payments on dollar bonds</w:t>
      </w:r>
      <w:r>
        <w:t xml:space="preserve"> </w:t>
      </w:r>
      <w:r w:rsidR="00FC6A50">
        <w:t>in the face of</w:t>
      </w:r>
      <w:r>
        <w:t xml:space="preserve"> likely peso exchange rate volatility </w:t>
      </w:r>
      <w:r w:rsidR="008767B2">
        <w:t>that</w:t>
      </w:r>
      <w:r>
        <w:t xml:space="preserve"> cannot be hedged directly for lack of the necessary FX swap market</w:t>
      </w:r>
      <w:r w:rsidR="00D978EA">
        <w:t>.</w:t>
      </w:r>
    </w:p>
    <w:p w:rsidR="00D978EA" w:rsidRPr="00D978EA" w:rsidRDefault="00BC4A7E" w:rsidP="00E409BD">
      <w:pPr>
        <w:spacing w:line="360" w:lineRule="auto"/>
      </w:pPr>
      <w:r>
        <w:t xml:space="preserve">For completeness, it should be noted that the whole system depicted in Table 2 </w:t>
      </w:r>
      <w:r w:rsidR="00D978EA">
        <w:t>is</w:t>
      </w:r>
      <w:r w:rsidR="00FC6A50">
        <w:t xml:space="preserve"> presently</w:t>
      </w:r>
      <w:r w:rsidR="00D978EA">
        <w:t xml:space="preserve"> backstopped by a system of central bank liquidity swaps with the Federal Reserve </w:t>
      </w:r>
      <w:r w:rsidR="008C214B">
        <w:t xml:space="preserve">Bank </w:t>
      </w:r>
      <w:r w:rsidR="00D978EA">
        <w:t xml:space="preserve">of the United States, i.e. the native issuer of dollars, but </w:t>
      </w:r>
      <w:r>
        <w:t xml:space="preserve">we </w:t>
      </w:r>
      <w:r w:rsidR="00D978EA">
        <w:t>reserve discussion of that for later.  For present purposes, the important point to h</w:t>
      </w:r>
      <w:r w:rsidR="001B5A0A">
        <w:t>old on to</w:t>
      </w:r>
      <w:r w:rsidR="00D978EA">
        <w:t xml:space="preserve"> is that the actually existing international monetary and financial system comprises a variety of more or less sophisticated institutions </w:t>
      </w:r>
      <w:r w:rsidR="00207BA8">
        <w:t>that</w:t>
      </w:r>
      <w:r w:rsidR="00D978EA">
        <w:t xml:space="preserve"> operate to knit disparate units into something arguably approximating the one big bank of Table 1.</w:t>
      </w:r>
    </w:p>
    <w:p w:rsidR="000A5BA9" w:rsidRDefault="000A5BA9" w:rsidP="00E409BD">
      <w:pPr>
        <w:spacing w:line="360" w:lineRule="auto"/>
        <w:rPr>
          <w:b/>
        </w:rPr>
      </w:pPr>
    </w:p>
    <w:p w:rsidR="008C214B" w:rsidRDefault="008C214B" w:rsidP="00E409BD">
      <w:pPr>
        <w:spacing w:line="360" w:lineRule="auto"/>
        <w:rPr>
          <w:b/>
          <w:sz w:val="28"/>
          <w:szCs w:val="28"/>
        </w:rPr>
      </w:pPr>
    </w:p>
    <w:p w:rsidR="006D64B9" w:rsidRPr="001B5A0A" w:rsidRDefault="008C214B" w:rsidP="00E409BD">
      <w:pPr>
        <w:spacing w:line="360" w:lineRule="auto"/>
        <w:rPr>
          <w:b/>
          <w:sz w:val="28"/>
          <w:szCs w:val="28"/>
        </w:rPr>
      </w:pPr>
      <w:r>
        <w:rPr>
          <w:b/>
          <w:sz w:val="28"/>
          <w:szCs w:val="28"/>
        </w:rPr>
        <w:t>T</w:t>
      </w:r>
      <w:r w:rsidR="00F14CAF" w:rsidRPr="001B5A0A">
        <w:rPr>
          <w:b/>
          <w:sz w:val="28"/>
          <w:szCs w:val="28"/>
        </w:rPr>
        <w:t>he survival constraint</w:t>
      </w:r>
      <w:r w:rsidR="006D64B9" w:rsidRPr="001B5A0A">
        <w:rPr>
          <w:b/>
          <w:sz w:val="28"/>
          <w:szCs w:val="28"/>
        </w:rPr>
        <w:t xml:space="preserve"> </w:t>
      </w:r>
      <w:r w:rsidR="00027CBF" w:rsidRPr="001B5A0A">
        <w:rPr>
          <w:b/>
          <w:sz w:val="28"/>
          <w:szCs w:val="28"/>
        </w:rPr>
        <w:t>and the alchemy of banking</w:t>
      </w:r>
      <w:r w:rsidR="006D64B9" w:rsidRPr="001B5A0A">
        <w:rPr>
          <w:b/>
          <w:sz w:val="28"/>
          <w:szCs w:val="28"/>
        </w:rPr>
        <w:t xml:space="preserve"> </w:t>
      </w:r>
      <w:r w:rsidR="00E34E19" w:rsidRPr="001B5A0A">
        <w:rPr>
          <w:b/>
          <w:sz w:val="28"/>
          <w:szCs w:val="28"/>
        </w:rPr>
        <w:t xml:space="preserve"> </w:t>
      </w:r>
      <w:r w:rsidR="00663A05" w:rsidRPr="001B5A0A">
        <w:rPr>
          <w:b/>
          <w:sz w:val="28"/>
          <w:szCs w:val="28"/>
        </w:rPr>
        <w:t xml:space="preserve"> </w:t>
      </w:r>
    </w:p>
    <w:p w:rsidR="0030410B" w:rsidRDefault="00663A05" w:rsidP="00E409BD">
      <w:pPr>
        <w:spacing w:line="360" w:lineRule="auto"/>
      </w:pPr>
      <w:r>
        <w:t>Importantly, there is no particular reason to expect that</w:t>
      </w:r>
      <w:r w:rsidR="00881215">
        <w:t>,</w:t>
      </w:r>
      <w:r>
        <w:t xml:space="preserve"> </w:t>
      </w:r>
      <w:r w:rsidR="00881215">
        <w:t xml:space="preserve">for any particular entity at </w:t>
      </w:r>
      <w:r w:rsidR="00C45BB8">
        <w:t>any particular time</w:t>
      </w:r>
      <w:r w:rsidR="00881215">
        <w:t>,</w:t>
      </w:r>
      <w:r w:rsidR="00C45BB8">
        <w:t xml:space="preserve"> </w:t>
      </w:r>
      <w:r>
        <w:t>cash inflows are great</w:t>
      </w:r>
      <w:r w:rsidR="00BC5734">
        <w:t>er</w:t>
      </w:r>
      <w:r w:rsidR="00C45BB8">
        <w:t xml:space="preserve"> than cash out</w:t>
      </w:r>
      <w:r>
        <w:t>flows</w:t>
      </w:r>
      <w:r w:rsidR="00BC5734">
        <w:t>.  I</w:t>
      </w:r>
      <w:r>
        <w:t>n fact</w:t>
      </w:r>
      <w:r w:rsidR="00BC5734">
        <w:t>, since</w:t>
      </w:r>
      <w:r>
        <w:t xml:space="preserve"> by construction everyone’s cash inflow is someone else’s cash outflow, it is inevitable that some agents will be deficit (outflows greater than inflows) and some surplus (inflows greater than outflows)</w:t>
      </w:r>
      <w:r w:rsidR="00BC5734">
        <w:t xml:space="preserve">.  </w:t>
      </w:r>
      <w:r w:rsidR="00160031">
        <w:t>By default</w:t>
      </w:r>
      <w:r w:rsidR="00BF21B8">
        <w:t>, t</w:t>
      </w:r>
      <w:r w:rsidR="00BC5734">
        <w:t>hese n</w:t>
      </w:r>
      <w:r>
        <w:t xml:space="preserve">et </w:t>
      </w:r>
      <w:r w:rsidR="00BF21B8">
        <w:t xml:space="preserve">flows “settle” </w:t>
      </w:r>
      <w:r>
        <w:t>by drawing down or building up demand claims at the bank</w:t>
      </w:r>
      <w:r w:rsidR="00BF21B8">
        <w:t>; p</w:t>
      </w:r>
      <w:r>
        <w:t xml:space="preserve">romises to pay are promises to pay cash, and the payment </w:t>
      </w:r>
      <w:r w:rsidR="0030410B">
        <w:t>of cash therefore fulfills the promise.</w:t>
      </w:r>
      <w:r w:rsidR="00AB2361">
        <w:t xml:space="preserve">  </w:t>
      </w:r>
      <w:r w:rsidR="00FC6A50">
        <w:t>It follows that h</w:t>
      </w:r>
      <w:r w:rsidR="00AB2361">
        <w:t>o</w:t>
      </w:r>
      <w:r w:rsidR="00C45BB8">
        <w:t xml:space="preserve">ldings of demand claims </w:t>
      </w:r>
      <w:r w:rsidR="00AB2361">
        <w:t>can</w:t>
      </w:r>
      <w:r w:rsidR="00C45BB8">
        <w:t xml:space="preserve"> </w:t>
      </w:r>
      <w:r w:rsidR="00AB2361">
        <w:t xml:space="preserve">be considered “reserves”, </w:t>
      </w:r>
      <w:r w:rsidR="00BF21B8">
        <w:t xml:space="preserve">which </w:t>
      </w:r>
      <w:r w:rsidR="00AB2361">
        <w:t>fluctuat</w:t>
      </w:r>
      <w:r w:rsidR="00BF21B8">
        <w:t>e</w:t>
      </w:r>
      <w:r w:rsidR="00AB2361">
        <w:t xml:space="preserve"> up and down for each holder depending on the realized patte</w:t>
      </w:r>
      <w:r w:rsidR="002527EC">
        <w:t>rn of cash inflow</w:t>
      </w:r>
      <w:r w:rsidR="00160031">
        <w:t>s and outflows</w:t>
      </w:r>
      <w:r w:rsidR="002527EC">
        <w:t>.</w:t>
      </w:r>
    </w:p>
    <w:p w:rsidR="002460E7" w:rsidRDefault="002460E7" w:rsidP="00E409BD">
      <w:pPr>
        <w:spacing w:line="360" w:lineRule="auto"/>
      </w:pPr>
      <w:r>
        <w:t xml:space="preserve">In the money view, the requirement to settle your debts as they come due plays a central role, </w:t>
      </w:r>
      <w:r w:rsidR="001B5A0A">
        <w:t>and</w:t>
      </w:r>
      <w:r>
        <w:t xml:space="preserve"> we explicitly do </w:t>
      </w:r>
      <w:r w:rsidR="00160031" w:rsidRPr="00160031">
        <w:rPr>
          <w:u w:val="single"/>
        </w:rPr>
        <w:t>not</w:t>
      </w:r>
      <w:r>
        <w:t xml:space="preserve"> assume that reserves are always sufficient for that purpose</w:t>
      </w:r>
      <w:r w:rsidR="00207BA8">
        <w:t xml:space="preserve">; </w:t>
      </w:r>
      <w:r w:rsidR="008C214B">
        <w:t>this is a key differentiating feature</w:t>
      </w:r>
      <w:r w:rsidR="00207BA8">
        <w:t xml:space="preserve"> from standard theory</w:t>
      </w:r>
      <w:r>
        <w:t xml:space="preserve">.  </w:t>
      </w:r>
      <w:r w:rsidR="00160031">
        <w:t>Rather,</w:t>
      </w:r>
      <w:r w:rsidR="00FC6A50">
        <w:t xml:space="preserve"> the important point is that</w:t>
      </w:r>
      <w:r w:rsidR="00160031">
        <w:t xml:space="preserve"> t</w:t>
      </w:r>
      <w:r>
        <w:t xml:space="preserve">he discipline of eventual settlement is in the mind of all </w:t>
      </w:r>
      <w:r w:rsidR="008C214B">
        <w:t>who issue</w:t>
      </w:r>
      <w:r>
        <w:t xml:space="preserve"> promises</w:t>
      </w:r>
      <w:r w:rsidR="008C214B">
        <w:t xml:space="preserve"> to pay, as well as in the mind</w:t>
      </w:r>
      <w:r>
        <w:t xml:space="preserve"> of </w:t>
      </w:r>
      <w:r w:rsidR="008C214B">
        <w:t>all</w:t>
      </w:r>
      <w:r>
        <w:t xml:space="preserve"> </w:t>
      </w:r>
      <w:r w:rsidR="00160031">
        <w:t>who accept those</w:t>
      </w:r>
      <w:r>
        <w:t xml:space="preserve"> promises</w:t>
      </w:r>
      <w:r w:rsidR="00160031">
        <w:t xml:space="preserve"> and depend on their fulfillment</w:t>
      </w:r>
      <w:r>
        <w:t xml:space="preserve">.  </w:t>
      </w:r>
      <w:r w:rsidR="001B5A0A">
        <w:t>At the moment of issue, b</w:t>
      </w:r>
      <w:r>
        <w:t xml:space="preserve">oth parties know that the future is uncertain, with the consequence that </w:t>
      </w:r>
      <w:r w:rsidR="008C214B">
        <w:t xml:space="preserve">realized </w:t>
      </w:r>
      <w:r>
        <w:t>cash inflows may be insufficient to meet promised cash outflows, an insufficiency conceivably large enough or lasting long enough to exhaust accumulated reserves.  What happens then?</w:t>
      </w:r>
    </w:p>
    <w:p w:rsidR="00997A77" w:rsidRDefault="002460E7" w:rsidP="00E409BD">
      <w:pPr>
        <w:spacing w:line="360" w:lineRule="auto"/>
      </w:pPr>
      <w:r>
        <w:t>There are two possibilities, borrowing and liquidating.</w:t>
      </w:r>
      <w:r w:rsidR="008767B2">
        <w:rPr>
          <w:rStyle w:val="Appelnotedebasdep"/>
        </w:rPr>
        <w:footnoteReference w:id="3"/>
      </w:r>
      <w:r>
        <w:t xml:space="preserve">  Borrowing means acquiring present demand claims from someone who currentl</w:t>
      </w:r>
      <w:r w:rsidR="001B5A0A">
        <w:t>y possesses more than they need</w:t>
      </w:r>
      <w:r>
        <w:t xml:space="preserve">.  Since surpluses and deficits always add to zero across the economy, there is always someone with a surplus who can conceivably be found and then </w:t>
      </w:r>
      <w:r w:rsidR="001D70C3">
        <w:t xml:space="preserve">potentially </w:t>
      </w:r>
      <w:r>
        <w:t xml:space="preserve">convinced </w:t>
      </w:r>
      <w:r w:rsidR="00027CBF">
        <w:t xml:space="preserve">(by means of price) </w:t>
      </w:r>
      <w:r>
        <w:t xml:space="preserve">to lend that surplus to meet a present deficit.  </w:t>
      </w:r>
      <w:r w:rsidR="001B5A0A">
        <w:t xml:space="preserve">When successful, the </w:t>
      </w:r>
      <w:r w:rsidR="008767B2">
        <w:t>result</w:t>
      </w:r>
      <w:r w:rsidR="001B5A0A">
        <w:t xml:space="preserve"> is to push off settlement to a later date, the maturity date of the new loan.  </w:t>
      </w:r>
      <w:r>
        <w:t>But the problem of finding and convincing is n</w:t>
      </w:r>
      <w:r w:rsidR="001B5A0A">
        <w:t>ot trivial, and that problem br</w:t>
      </w:r>
      <w:r w:rsidR="00997A77">
        <w:t>ings into focus a key degree of freedom that arises from the fact that</w:t>
      </w:r>
      <w:r w:rsidR="00D616EA">
        <w:t xml:space="preserve"> cash is a liability of the bank</w:t>
      </w:r>
      <w:r w:rsidR="008767B2">
        <w:t xml:space="preserve">, </w:t>
      </w:r>
      <w:r w:rsidR="001D70C3">
        <w:t>which means that</w:t>
      </w:r>
      <w:r w:rsidR="008767B2">
        <w:t xml:space="preserve"> t</w:t>
      </w:r>
      <w:r w:rsidR="0030410B">
        <w:t>he bank can always in princip</w:t>
      </w:r>
      <w:r w:rsidR="00BC5734">
        <w:t>le make more of it</w:t>
      </w:r>
      <w:r w:rsidR="008767B2">
        <w:t>.  I</w:t>
      </w:r>
      <w:r w:rsidR="00027CBF">
        <w:t>n the money view we call this the “alchemy of banking”.</w:t>
      </w:r>
    </w:p>
    <w:p w:rsidR="002527EC" w:rsidRDefault="00BC5734" w:rsidP="00E409BD">
      <w:pPr>
        <w:spacing w:line="360" w:lineRule="auto"/>
      </w:pPr>
      <w:r>
        <w:t xml:space="preserve">Indeed in our imaginary </w:t>
      </w:r>
      <w:r w:rsidR="002527EC">
        <w:t>we will typically</w:t>
      </w:r>
      <w:r w:rsidR="001B5A0A">
        <w:t xml:space="preserve"> be</w:t>
      </w:r>
      <w:r w:rsidR="002527EC">
        <w:t xml:space="preserve"> treat</w:t>
      </w:r>
      <w:r w:rsidR="001B5A0A">
        <w:t>ing</w:t>
      </w:r>
      <w:r w:rsidR="002527EC">
        <w:t xml:space="preserve"> </w:t>
      </w:r>
      <w:r w:rsidR="0030410B">
        <w:t>bank loan</w:t>
      </w:r>
      <w:r w:rsidR="002527EC">
        <w:t>s</w:t>
      </w:r>
      <w:r w:rsidR="0030410B">
        <w:t xml:space="preserve"> as </w:t>
      </w:r>
      <w:r w:rsidR="00F14CAF">
        <w:t xml:space="preserve">arising from </w:t>
      </w:r>
      <w:r w:rsidR="0030410B">
        <w:t>a swap of IOUs between the ba</w:t>
      </w:r>
      <w:r w:rsidR="00BF21B8">
        <w:t>nk and some non-bank individual</w:t>
      </w:r>
      <w:r w:rsidR="002527EC">
        <w:t>; the bank accepts a promise to pay at some date in the future and issues its own demand claim to pay today</w:t>
      </w:r>
      <w:r w:rsidR="00BF21B8">
        <w:t>.</w:t>
      </w:r>
      <w:r w:rsidR="0030410B">
        <w:t xml:space="preserve">  </w:t>
      </w:r>
      <w:r>
        <w:t xml:space="preserve">The important point is that, </w:t>
      </w:r>
      <w:r w:rsidR="0030410B">
        <w:t>since th</w:t>
      </w:r>
      <w:r>
        <w:t>e</w:t>
      </w:r>
      <w:r w:rsidR="0030410B">
        <w:t xml:space="preserve"> </w:t>
      </w:r>
      <w:r>
        <w:t xml:space="preserve">new </w:t>
      </w:r>
      <w:r w:rsidR="0030410B">
        <w:t xml:space="preserve">demand claim is indistinguishable from </w:t>
      </w:r>
      <w:r w:rsidR="008C214B">
        <w:t>existing</w:t>
      </w:r>
      <w:r w:rsidR="0030410B">
        <w:t xml:space="preserve"> demand claims, it is in practice “cash” and can </w:t>
      </w:r>
      <w:r w:rsidR="001B5A0A">
        <w:t xml:space="preserve">therefore </w:t>
      </w:r>
      <w:r w:rsidR="0030410B">
        <w:t>be used just like previously a</w:t>
      </w:r>
      <w:r>
        <w:t>ccumulated cash holdings to meet</w:t>
      </w:r>
      <w:r w:rsidR="0030410B">
        <w:t xml:space="preserve"> maturing promises to pay.</w:t>
      </w:r>
      <w:r w:rsidR="00BF21B8">
        <w:t xml:space="preserve">  </w:t>
      </w:r>
      <w:r>
        <w:t>Thus, o</w:t>
      </w:r>
      <w:r w:rsidR="00160031">
        <w:t>ne way to settle</w:t>
      </w:r>
      <w:r w:rsidR="0030410B">
        <w:t xml:space="preserve"> when promised cash outflows are greater than realized cash inflows is </w:t>
      </w:r>
      <w:r>
        <w:t>not to draw down accumulated balances</w:t>
      </w:r>
      <w:r w:rsidR="001B5A0A">
        <w:t xml:space="preserve">, or to bid for balances </w:t>
      </w:r>
      <w:r w:rsidR="00527EA7">
        <w:t xml:space="preserve">that have been </w:t>
      </w:r>
      <w:r w:rsidR="001B5A0A">
        <w:t>accumulated by someone else,</w:t>
      </w:r>
      <w:r>
        <w:t xml:space="preserve"> but rather </w:t>
      </w:r>
      <w:r w:rsidR="0030410B">
        <w:t>simply to borrow the needed cash</w:t>
      </w:r>
      <w:r w:rsidR="001B5A0A">
        <w:t xml:space="preserve"> from the bank</w:t>
      </w:r>
      <w:r w:rsidR="008767B2">
        <w:t>, which simply creates it by expanding its balance sheet on both sides</w:t>
      </w:r>
      <w:r w:rsidR="002527EC">
        <w:t xml:space="preserve">.  </w:t>
      </w:r>
      <w:r w:rsidR="00160031">
        <w:t>Note that t</w:t>
      </w:r>
      <w:r w:rsidR="0030410B">
        <w:t>h</w:t>
      </w:r>
      <w:r w:rsidR="008C214B">
        <w:t>is</w:t>
      </w:r>
      <w:r w:rsidR="001B5A0A">
        <w:t xml:space="preserve"> borrowing method of s</w:t>
      </w:r>
      <w:r w:rsidR="00160031">
        <w:t>ettlement</w:t>
      </w:r>
      <w:r w:rsidR="001B5A0A">
        <w:t xml:space="preserve">, whether the borrowing is from a bank or a non-bank, </w:t>
      </w:r>
      <w:r w:rsidR="0030410B">
        <w:t>is</w:t>
      </w:r>
      <w:r>
        <w:t xml:space="preserve"> </w:t>
      </w:r>
      <w:r w:rsidR="001B5A0A">
        <w:t>fundamentally</w:t>
      </w:r>
      <w:r w:rsidR="0030410B">
        <w:t xml:space="preserve"> different</w:t>
      </w:r>
      <w:r>
        <w:t xml:space="preserve"> from </w:t>
      </w:r>
      <w:r w:rsidR="001B5A0A">
        <w:t>the</w:t>
      </w:r>
      <w:r>
        <w:t xml:space="preserve"> cash</w:t>
      </w:r>
      <w:r w:rsidR="001B5A0A">
        <w:t xml:space="preserve"> method</w:t>
      </w:r>
      <w:r w:rsidR="0030410B">
        <w:t xml:space="preserve"> because it requires </w:t>
      </w:r>
      <w:r w:rsidR="001B5A0A">
        <w:t xml:space="preserve">a counterparty </w:t>
      </w:r>
      <w:r w:rsidR="0030410B">
        <w:t>willing</w:t>
      </w:r>
      <w:r w:rsidR="001B5A0A">
        <w:t xml:space="preserve"> </w:t>
      </w:r>
      <w:r w:rsidR="0030410B">
        <w:t>to extend a loan</w:t>
      </w:r>
      <w:r>
        <w:t xml:space="preserve">.  </w:t>
      </w:r>
    </w:p>
    <w:p w:rsidR="002527EC" w:rsidRDefault="00997A77" w:rsidP="00E409BD">
      <w:pPr>
        <w:spacing w:line="360" w:lineRule="auto"/>
      </w:pPr>
      <w:r>
        <w:t xml:space="preserve">The second </w:t>
      </w:r>
      <w:r w:rsidR="00E422AE">
        <w:t>possibility</w:t>
      </w:r>
      <w:r>
        <w:t>, liquidation, also requires a willing counterparty.  The</w:t>
      </w:r>
      <w:r w:rsidR="00E422AE">
        <w:t xml:space="preserve"> idea here is that the</w:t>
      </w:r>
      <w:r>
        <w:t xml:space="preserve"> pr</w:t>
      </w:r>
      <w:r w:rsidR="008C214B">
        <w:t xml:space="preserve">oblem of convincing a </w:t>
      </w:r>
      <w:r>
        <w:t xml:space="preserve">surplus agent to hand over demand claims may be easier if the prospective counterparty </w:t>
      </w:r>
      <w:r w:rsidR="00C3175B">
        <w:t xml:space="preserve">for the surplus agent </w:t>
      </w:r>
      <w:r>
        <w:t>is not the needy deficit agent herself but rather someone else</w:t>
      </w:r>
      <w:r w:rsidR="00E422AE">
        <w:t xml:space="preserve"> whose p</w:t>
      </w:r>
      <w:r>
        <w:t>reviously issued promises to pay are currently owned by the deficit agent.  In this case, th</w:t>
      </w:r>
      <w:r w:rsidR="008C214B">
        <w:t xml:space="preserve">e deficit agent can </w:t>
      </w:r>
      <w:r>
        <w:t xml:space="preserve">just sell </w:t>
      </w:r>
      <w:r w:rsidR="00E422AE">
        <w:t>those promises</w:t>
      </w:r>
      <w:r>
        <w:t xml:space="preserve"> for present </w:t>
      </w:r>
      <w:r w:rsidR="00D616EA">
        <w:t>demand claims, and then use th</w:t>
      </w:r>
      <w:r>
        <w:t xml:space="preserve">e demand claims to meet the deficit.  </w:t>
      </w:r>
      <w:r w:rsidR="00E422AE">
        <w:t xml:space="preserve">Note however that </w:t>
      </w:r>
      <w:r>
        <w:t>here again the problem of finding and convincing</w:t>
      </w:r>
      <w:r w:rsidR="00027CBF">
        <w:t xml:space="preserve"> (again by means of price)</w:t>
      </w:r>
      <w:r>
        <w:t xml:space="preserve"> is not trivial, and </w:t>
      </w:r>
      <w:r w:rsidR="00E422AE">
        <w:t xml:space="preserve">that </w:t>
      </w:r>
      <w:r w:rsidR="001B244F">
        <w:t xml:space="preserve">here again </w:t>
      </w:r>
      <w:r>
        <w:t>the potential elasti</w:t>
      </w:r>
      <w:r w:rsidR="00527EA7">
        <w:t>city of bank credit adds a</w:t>
      </w:r>
      <w:r>
        <w:t xml:space="preserve"> degree of freedom.  A </w:t>
      </w:r>
      <w:r w:rsidR="00E422AE">
        <w:t xml:space="preserve">bank that stands willing to buy </w:t>
      </w:r>
      <w:r>
        <w:t>existing financial assets</w:t>
      </w:r>
      <w:r w:rsidR="00E422AE">
        <w:t xml:space="preserve"> with newly created </w:t>
      </w:r>
      <w:r>
        <w:t>demand claims can serve as backstop for th</w:t>
      </w:r>
      <w:r w:rsidR="00E422AE">
        <w:t>e</w:t>
      </w:r>
      <w:r>
        <w:t xml:space="preserve"> liquidation method</w:t>
      </w:r>
      <w:r w:rsidR="00E422AE">
        <w:t xml:space="preserve"> of settlement</w:t>
      </w:r>
      <w:r w:rsidR="00B66941">
        <w:t>, in much the same way that it can serve backstop for the borrowing method</w:t>
      </w:r>
      <w:r>
        <w:t xml:space="preserve">. </w:t>
      </w:r>
      <w:r w:rsidR="002527EC">
        <w:t xml:space="preserve">  </w:t>
      </w:r>
    </w:p>
    <w:p w:rsidR="00E422AE" w:rsidRDefault="00E422AE" w:rsidP="00E409BD">
      <w:pPr>
        <w:spacing w:line="360" w:lineRule="auto"/>
      </w:pPr>
      <w:r>
        <w:t xml:space="preserve">I have emphasized that both of these possibilities require a willing counterparty, which in principle may limit their immediate usefulness.  </w:t>
      </w:r>
      <w:r w:rsidR="001B244F">
        <w:t xml:space="preserve">In both </w:t>
      </w:r>
      <w:r>
        <w:t xml:space="preserve">cases, therefore, </w:t>
      </w:r>
      <w:r w:rsidR="001B244F">
        <w:t xml:space="preserve">we may imagine </w:t>
      </w:r>
      <w:r w:rsidR="00B66941">
        <w:t>some</w:t>
      </w:r>
      <w:r w:rsidR="001B244F">
        <w:t xml:space="preserve"> pre-commitment by the bank—a standing credit line</w:t>
      </w:r>
      <w:r w:rsidR="008C214B">
        <w:t xml:space="preserve"> for vetted customers</w:t>
      </w:r>
      <w:r w:rsidR="00527EA7">
        <w:t>,</w:t>
      </w:r>
      <w:r w:rsidR="001B244F">
        <w:t xml:space="preserve"> or a standing discount window commitment</w:t>
      </w:r>
      <w:r w:rsidR="00027CBF">
        <w:t xml:space="preserve"> against a list of acceptable collateral</w:t>
      </w:r>
      <w:r w:rsidR="001B244F">
        <w:t xml:space="preserve"> respectively—</w:t>
      </w:r>
      <w:r>
        <w:t xml:space="preserve">which </w:t>
      </w:r>
      <w:r w:rsidR="001B244F">
        <w:t xml:space="preserve">serves not only as backstop in case no non-bank counterparty can be found, but also as encouragement for such potential counterparties to step forward in the first place.  Counterparties have less need to hoard surplus reserves if they know </w:t>
      </w:r>
      <w:r w:rsidR="00B7189F">
        <w:t xml:space="preserve">that </w:t>
      </w:r>
      <w:r w:rsidR="001B244F">
        <w:t xml:space="preserve">they themselves will be able to replenish </w:t>
      </w:r>
      <w:r w:rsidR="00B66941">
        <w:t xml:space="preserve">their holdings </w:t>
      </w:r>
      <w:r w:rsidR="001B244F">
        <w:t xml:space="preserve">in case of need.  </w:t>
      </w:r>
      <w:r w:rsidR="008767B2">
        <w:t xml:space="preserve"> And the bank has less need to acquiesce to demands for last resort lending if first resort lending is readily available from non-bank counterparties.</w:t>
      </w:r>
    </w:p>
    <w:p w:rsidR="00ED4966" w:rsidRDefault="00E422AE" w:rsidP="00E409BD">
      <w:pPr>
        <w:spacing w:line="360" w:lineRule="auto"/>
      </w:pPr>
      <w:r>
        <w:t>The central point to hold on to in all of this is that b</w:t>
      </w:r>
      <w:r w:rsidR="001B244F">
        <w:t>orrowing and liquidation</w:t>
      </w:r>
      <w:r w:rsidR="00B66941">
        <w:t xml:space="preserve"> are</w:t>
      </w:r>
      <w:r w:rsidR="001B244F">
        <w:t xml:space="preserve"> both</w:t>
      </w:r>
      <w:r w:rsidR="00B66941">
        <w:t xml:space="preserve"> ways to</w:t>
      </w:r>
      <w:r w:rsidR="001B244F">
        <w:t xml:space="preserve"> relax the discipline of settlement</w:t>
      </w:r>
      <w:r w:rsidR="00B66941">
        <w:t>,</w:t>
      </w:r>
      <w:r w:rsidR="001B244F">
        <w:t xml:space="preserve"> </w:t>
      </w:r>
      <w:r>
        <w:t>f</w:t>
      </w:r>
      <w:r w:rsidR="001B244F">
        <w:t xml:space="preserve">or a price, the price that convinces holders of reserves to lend or buy.  </w:t>
      </w:r>
      <w:r w:rsidR="008C214B">
        <w:t xml:space="preserve">In this way, as Schumpeter proposed, “money” </w:t>
      </w:r>
      <w:r w:rsidR="008767B2">
        <w:t>need change</w:t>
      </w:r>
      <w:r w:rsidR="008C214B">
        <w:t xml:space="preserve"> hands only exceptionally, </w:t>
      </w:r>
      <w:r w:rsidR="008767B2">
        <w:t>since</w:t>
      </w:r>
      <w:r w:rsidR="008C214B">
        <w:t xml:space="preserve"> most everything </w:t>
      </w:r>
      <w:r w:rsidR="008767B2">
        <w:t>can be</w:t>
      </w:r>
      <w:r w:rsidR="008C214B">
        <w:t xml:space="preserve"> done with credit.  The discipline in the system comes not from quantity but from price, not from the scarcity of the final means of payment but from the cost of pushing off the day of reckoning into the future.  </w:t>
      </w:r>
      <w:r w:rsidR="001B244F">
        <w:t>And</w:t>
      </w:r>
      <w:r w:rsidR="00FC6A50">
        <w:t xml:space="preserve"> when the</w:t>
      </w:r>
      <w:r w:rsidR="008767B2">
        <w:t xml:space="preserve"> price mechanism fails</w:t>
      </w:r>
      <w:r w:rsidR="001B244F">
        <w:t xml:space="preserve"> then “lender of last resort” or “dealer of last resort” by the bank</w:t>
      </w:r>
      <w:r w:rsidR="00027CBF">
        <w:t xml:space="preserve">, </w:t>
      </w:r>
      <w:r>
        <w:t xml:space="preserve">which </w:t>
      </w:r>
      <w:r w:rsidR="00027CBF">
        <w:t>mobiliz</w:t>
      </w:r>
      <w:r>
        <w:t>es</w:t>
      </w:r>
      <w:r w:rsidR="00027CBF">
        <w:t xml:space="preserve"> the alchemy of money to </w:t>
      </w:r>
      <w:r w:rsidR="00FC6A50">
        <w:t>shift</w:t>
      </w:r>
      <w:r>
        <w:t xml:space="preserve"> a</w:t>
      </w:r>
      <w:r w:rsidR="00027CBF">
        <w:t xml:space="preserve"> binding survival constraint today</w:t>
      </w:r>
      <w:r>
        <w:t xml:space="preserve"> into the future</w:t>
      </w:r>
      <w:r w:rsidR="00027CBF">
        <w:t>,</w:t>
      </w:r>
      <w:r w:rsidR="001B244F">
        <w:t xml:space="preserve"> is always a potential remedy</w:t>
      </w:r>
      <w:r w:rsidR="008767B2">
        <w:t>, so avoiding possible default</w:t>
      </w:r>
      <w:r w:rsidR="00FC6A50">
        <w:t xml:space="preserve">.  </w:t>
      </w:r>
    </w:p>
    <w:p w:rsidR="0056201B" w:rsidRDefault="00FC6A50" w:rsidP="00E409BD">
      <w:pPr>
        <w:spacing w:line="360" w:lineRule="auto"/>
      </w:pPr>
      <w:r>
        <w:t>Indeed</w:t>
      </w:r>
      <w:r w:rsidR="0056201B">
        <w:t>,</w:t>
      </w:r>
      <w:r>
        <w:t xml:space="preserve"> more importantly, such intervention can </w:t>
      </w:r>
      <w:r w:rsidR="0056201B">
        <w:t>avoid a</w:t>
      </w:r>
      <w:r>
        <w:t xml:space="preserve"> potential</w:t>
      </w:r>
      <w:r w:rsidR="0056201B">
        <w:t xml:space="preserve"> </w:t>
      </w:r>
      <w:r w:rsidR="0056201B" w:rsidRPr="00B66941">
        <w:rPr>
          <w:u w:val="single"/>
        </w:rPr>
        <w:t>cascade</w:t>
      </w:r>
      <w:r w:rsidR="0056201B">
        <w:t xml:space="preserve"> of defaults </w:t>
      </w:r>
      <w:r w:rsidR="001D70C3">
        <w:t>that</w:t>
      </w:r>
      <w:r w:rsidR="00B66941">
        <w:t xml:space="preserve"> threatens because </w:t>
      </w:r>
      <w:r>
        <w:t>one agent’s</w:t>
      </w:r>
      <w:r w:rsidR="0056201B">
        <w:t xml:space="preserve"> </w:t>
      </w:r>
      <w:r w:rsidR="00553670">
        <w:t>cash outflow commitments</w:t>
      </w:r>
      <w:r w:rsidR="0056201B">
        <w:t xml:space="preserve"> </w:t>
      </w:r>
      <w:r>
        <w:t>are another</w:t>
      </w:r>
      <w:r w:rsidR="00553670">
        <w:t xml:space="preserve"> agent</w:t>
      </w:r>
      <w:r>
        <w:t>’s</w:t>
      </w:r>
      <w:r w:rsidR="0056201B">
        <w:t xml:space="preserve"> cash inflow</w:t>
      </w:r>
      <w:r w:rsidR="00553670">
        <w:t xml:space="preserve"> anticipations</w:t>
      </w:r>
      <w:r w:rsidR="0056201B">
        <w:t>.  One agent’s fail</w:t>
      </w:r>
      <w:r w:rsidR="00ED4966">
        <w:t>ure to meet its deficit can therefore</w:t>
      </w:r>
      <w:r w:rsidR="0056201B">
        <w:t xml:space="preserve"> force deficits on</w:t>
      </w:r>
      <w:r w:rsidR="00F34B8C">
        <w:t>to</w:t>
      </w:r>
      <w:r w:rsidR="0056201B">
        <w:t xml:space="preserve"> its counterparties</w:t>
      </w:r>
      <w:r w:rsidR="00ED4966">
        <w:t>, which they may be unable to meet</w:t>
      </w:r>
      <w:r w:rsidR="0056201B">
        <w:t>.</w:t>
      </w:r>
      <w:r w:rsidR="00ED4966">
        <w:t xml:space="preserve">  Last resort bank intervention </w:t>
      </w:r>
      <w:r w:rsidR="001D70C3">
        <w:t>can halt</w:t>
      </w:r>
      <w:r w:rsidR="00ED4966">
        <w:t xml:space="preserve"> this cascade </w:t>
      </w:r>
      <w:r w:rsidR="001D70C3">
        <w:t>before it gets started</w:t>
      </w:r>
      <w:r w:rsidR="00ED4966">
        <w:t xml:space="preserve">, at least potentially.  </w:t>
      </w:r>
      <w:r w:rsidR="00B66941">
        <w:t>Of course, i</w:t>
      </w:r>
      <w:r w:rsidR="00ED4966">
        <w:t xml:space="preserve">n practice there are many obstacles to such intervention, political and economic, </w:t>
      </w:r>
      <w:r w:rsidR="00B66941">
        <w:t xml:space="preserve">but we </w:t>
      </w:r>
      <w:r w:rsidR="00ED4966">
        <w:t xml:space="preserve">put </w:t>
      </w:r>
      <w:r w:rsidR="00F34B8C">
        <w:t>these</w:t>
      </w:r>
      <w:r w:rsidR="00B66941">
        <w:t xml:space="preserve"> </w:t>
      </w:r>
      <w:r w:rsidR="00ED4966">
        <w:t>aside for the moment.</w:t>
      </w:r>
      <w:r w:rsidR="00B66941">
        <w:t xml:space="preserve">  For present purposes it is most immediately important to appreciate the nature of the infrastructure underlying a market economy.  </w:t>
      </w:r>
      <w:r w:rsidR="00B66941" w:rsidRPr="00CC36FB">
        <w:rPr>
          <w:b/>
        </w:rPr>
        <w:t>In the money view, money is not so much a medium of exchange for trading goods as it is a means of payment for settling debts</w:t>
      </w:r>
      <w:r w:rsidR="00B66941">
        <w:t>.</w:t>
      </w:r>
    </w:p>
    <w:p w:rsidR="00B66941" w:rsidRDefault="00B66941" w:rsidP="00E409BD">
      <w:pPr>
        <w:spacing w:line="360" w:lineRule="auto"/>
      </w:pPr>
      <w:r>
        <w:t>In sum, note that t</w:t>
      </w:r>
      <w:r w:rsidR="00ED7A6F">
        <w:t>hese three ways of handling</w:t>
      </w:r>
      <w:r w:rsidR="00F34B8C">
        <w:t xml:space="preserve"> a</w:t>
      </w:r>
      <w:r w:rsidR="00ED7A6F">
        <w:t xml:space="preserve"> mismatch between cash inflow and cash outflow—drawing down cash holdings, borrowing either from the bank or someone else, and selling a financial asset either to the bank or someone else—are clearly exhaustive.  All </w:t>
      </w:r>
      <w:r>
        <w:t xml:space="preserve">actual </w:t>
      </w:r>
      <w:r w:rsidR="00ED7A6F">
        <w:t>cases</w:t>
      </w:r>
      <w:r>
        <w:t xml:space="preserve"> must necessarily</w:t>
      </w:r>
      <w:r w:rsidR="00ED7A6F">
        <w:t xml:space="preserve"> fall into one of these three </w:t>
      </w:r>
      <w:r w:rsidR="00F34B8C">
        <w:t xml:space="preserve">idealized </w:t>
      </w:r>
      <w:r w:rsidR="00ED7A6F">
        <w:t>cases.</w:t>
      </w:r>
      <w:r w:rsidR="00AF68D6">
        <w:t xml:space="preserve">  </w:t>
      </w:r>
      <w:r>
        <w:t>Table 3 draws it all together using the framework of Sources and Uses accounting.</w:t>
      </w:r>
    </w:p>
    <w:p w:rsidR="00B66941" w:rsidRPr="00B66941" w:rsidRDefault="00B66941" w:rsidP="00E409BD">
      <w:pPr>
        <w:spacing w:line="360" w:lineRule="auto"/>
        <w:jc w:val="center"/>
        <w:rPr>
          <w:b/>
        </w:rPr>
      </w:pPr>
      <w:r w:rsidRPr="00B66941">
        <w:rPr>
          <w:b/>
        </w:rPr>
        <w:t>Table 3</w:t>
      </w:r>
    </w:p>
    <w:p w:rsidR="009013C1" w:rsidRDefault="009013C1" w:rsidP="00E409BD">
      <w:pPr>
        <w:spacing w:line="360" w:lineRule="auto"/>
      </w:pPr>
      <w:r>
        <w:tab/>
      </w:r>
      <w:r>
        <w:tab/>
      </w:r>
      <w:r>
        <w:tab/>
      </w:r>
      <w:r>
        <w:tab/>
        <w:t>Deficit Agent</w:t>
      </w:r>
      <w:r>
        <w:tab/>
      </w:r>
      <w:r>
        <w:tab/>
      </w:r>
      <w:r>
        <w:tab/>
      </w:r>
      <w:r>
        <w:tab/>
        <w:t>Surplus Agent</w:t>
      </w:r>
    </w:p>
    <w:tbl>
      <w:tblPr>
        <w:tblStyle w:val="Grilledutableau"/>
        <w:tblW w:w="0" w:type="auto"/>
        <w:tblLook w:val="04A0" w:firstRow="1" w:lastRow="0" w:firstColumn="1" w:lastColumn="0" w:noHBand="0" w:noVBand="1"/>
      </w:tblPr>
      <w:tblGrid>
        <w:gridCol w:w="1870"/>
        <w:gridCol w:w="1870"/>
        <w:gridCol w:w="1870"/>
        <w:gridCol w:w="1870"/>
        <w:gridCol w:w="1870"/>
      </w:tblGrid>
      <w:tr w:rsidR="009013C1" w:rsidTr="009013C1">
        <w:tc>
          <w:tcPr>
            <w:tcW w:w="1870" w:type="dxa"/>
          </w:tcPr>
          <w:p w:rsidR="009013C1" w:rsidRDefault="009013C1" w:rsidP="00E409BD">
            <w:pPr>
              <w:spacing w:line="360" w:lineRule="auto"/>
            </w:pPr>
          </w:p>
        </w:tc>
        <w:tc>
          <w:tcPr>
            <w:tcW w:w="1870" w:type="dxa"/>
          </w:tcPr>
          <w:p w:rsidR="009013C1" w:rsidRDefault="009013C1" w:rsidP="00E409BD">
            <w:pPr>
              <w:spacing w:line="360" w:lineRule="auto"/>
            </w:pPr>
            <w:r>
              <w:t>Uses</w:t>
            </w:r>
          </w:p>
        </w:tc>
        <w:tc>
          <w:tcPr>
            <w:tcW w:w="1870" w:type="dxa"/>
          </w:tcPr>
          <w:p w:rsidR="009013C1" w:rsidRDefault="009013C1" w:rsidP="00E409BD">
            <w:pPr>
              <w:spacing w:line="360" w:lineRule="auto"/>
            </w:pPr>
            <w:r>
              <w:t>Sources</w:t>
            </w:r>
          </w:p>
        </w:tc>
        <w:tc>
          <w:tcPr>
            <w:tcW w:w="1870" w:type="dxa"/>
          </w:tcPr>
          <w:p w:rsidR="009013C1" w:rsidRDefault="009013C1" w:rsidP="00E409BD">
            <w:pPr>
              <w:spacing w:line="360" w:lineRule="auto"/>
            </w:pPr>
            <w:r>
              <w:t>Uses</w:t>
            </w:r>
          </w:p>
        </w:tc>
        <w:tc>
          <w:tcPr>
            <w:tcW w:w="1870" w:type="dxa"/>
          </w:tcPr>
          <w:p w:rsidR="009013C1" w:rsidRDefault="009013C1" w:rsidP="00E409BD">
            <w:pPr>
              <w:spacing w:line="360" w:lineRule="auto"/>
            </w:pPr>
            <w:r>
              <w:t>Sources</w:t>
            </w:r>
          </w:p>
        </w:tc>
      </w:tr>
      <w:tr w:rsidR="009013C1" w:rsidTr="00027CBF">
        <w:tc>
          <w:tcPr>
            <w:tcW w:w="1870" w:type="dxa"/>
            <w:tcBorders>
              <w:bottom w:val="single" w:sz="12" w:space="0" w:color="auto"/>
            </w:tcBorders>
          </w:tcPr>
          <w:p w:rsidR="009013C1" w:rsidRDefault="009013C1" w:rsidP="00E409BD">
            <w:pPr>
              <w:spacing w:line="360" w:lineRule="auto"/>
            </w:pPr>
            <w:r>
              <w:t xml:space="preserve">G&amp;S </w:t>
            </w:r>
          </w:p>
        </w:tc>
        <w:tc>
          <w:tcPr>
            <w:tcW w:w="1870" w:type="dxa"/>
            <w:tcBorders>
              <w:bottom w:val="single" w:sz="12" w:space="0" w:color="auto"/>
            </w:tcBorders>
          </w:tcPr>
          <w:p w:rsidR="009013C1" w:rsidRDefault="009013C1" w:rsidP="00E409BD">
            <w:pPr>
              <w:spacing w:line="360" w:lineRule="auto"/>
            </w:pPr>
            <w:r>
              <w:t>Net outflow</w:t>
            </w:r>
          </w:p>
        </w:tc>
        <w:tc>
          <w:tcPr>
            <w:tcW w:w="1870" w:type="dxa"/>
            <w:tcBorders>
              <w:bottom w:val="single" w:sz="12" w:space="0" w:color="auto"/>
            </w:tcBorders>
          </w:tcPr>
          <w:p w:rsidR="009013C1" w:rsidRDefault="009013C1" w:rsidP="00E409BD">
            <w:pPr>
              <w:spacing w:line="360" w:lineRule="auto"/>
            </w:pPr>
          </w:p>
        </w:tc>
        <w:tc>
          <w:tcPr>
            <w:tcW w:w="1870" w:type="dxa"/>
            <w:tcBorders>
              <w:bottom w:val="single" w:sz="12" w:space="0" w:color="auto"/>
            </w:tcBorders>
          </w:tcPr>
          <w:p w:rsidR="009013C1" w:rsidRDefault="009013C1" w:rsidP="00E409BD">
            <w:pPr>
              <w:spacing w:line="360" w:lineRule="auto"/>
            </w:pPr>
          </w:p>
        </w:tc>
        <w:tc>
          <w:tcPr>
            <w:tcW w:w="1870" w:type="dxa"/>
            <w:tcBorders>
              <w:bottom w:val="single" w:sz="12" w:space="0" w:color="auto"/>
            </w:tcBorders>
          </w:tcPr>
          <w:p w:rsidR="009013C1" w:rsidRDefault="009013C1" w:rsidP="00E409BD">
            <w:pPr>
              <w:spacing w:line="360" w:lineRule="auto"/>
            </w:pPr>
            <w:r>
              <w:t>Net inflow</w:t>
            </w:r>
          </w:p>
        </w:tc>
      </w:tr>
      <w:tr w:rsidR="009013C1" w:rsidTr="00027CBF">
        <w:tc>
          <w:tcPr>
            <w:tcW w:w="1870" w:type="dxa"/>
            <w:tcBorders>
              <w:top w:val="single" w:sz="12" w:space="0" w:color="auto"/>
            </w:tcBorders>
          </w:tcPr>
          <w:p w:rsidR="009013C1" w:rsidRDefault="009013C1" w:rsidP="00E409BD">
            <w:pPr>
              <w:spacing w:line="360" w:lineRule="auto"/>
            </w:pPr>
            <w:r>
              <w:t>FA</w:t>
            </w:r>
          </w:p>
        </w:tc>
        <w:tc>
          <w:tcPr>
            <w:tcW w:w="1870" w:type="dxa"/>
            <w:tcBorders>
              <w:top w:val="single" w:sz="12" w:space="0" w:color="auto"/>
            </w:tcBorders>
          </w:tcPr>
          <w:p w:rsidR="009013C1" w:rsidRDefault="009013C1" w:rsidP="00E409BD">
            <w:pPr>
              <w:spacing w:line="360" w:lineRule="auto"/>
            </w:pPr>
          </w:p>
        </w:tc>
        <w:tc>
          <w:tcPr>
            <w:tcW w:w="1870" w:type="dxa"/>
            <w:tcBorders>
              <w:top w:val="single" w:sz="12" w:space="0" w:color="auto"/>
            </w:tcBorders>
          </w:tcPr>
          <w:p w:rsidR="009013C1" w:rsidRDefault="009013C1" w:rsidP="00E409BD">
            <w:pPr>
              <w:spacing w:line="360" w:lineRule="auto"/>
            </w:pPr>
            <w:r>
              <w:t>Liquidation</w:t>
            </w:r>
          </w:p>
        </w:tc>
        <w:tc>
          <w:tcPr>
            <w:tcW w:w="1870" w:type="dxa"/>
            <w:tcBorders>
              <w:top w:val="single" w:sz="12" w:space="0" w:color="auto"/>
            </w:tcBorders>
          </w:tcPr>
          <w:p w:rsidR="009013C1" w:rsidRDefault="009013C1" w:rsidP="00E409BD">
            <w:pPr>
              <w:spacing w:line="360" w:lineRule="auto"/>
            </w:pPr>
            <w:r>
              <w:t>Accumulation</w:t>
            </w:r>
          </w:p>
        </w:tc>
        <w:tc>
          <w:tcPr>
            <w:tcW w:w="1870" w:type="dxa"/>
            <w:tcBorders>
              <w:top w:val="single" w:sz="12" w:space="0" w:color="auto"/>
            </w:tcBorders>
          </w:tcPr>
          <w:p w:rsidR="009013C1" w:rsidRDefault="009013C1" w:rsidP="00E409BD">
            <w:pPr>
              <w:spacing w:line="360" w:lineRule="auto"/>
            </w:pPr>
          </w:p>
        </w:tc>
      </w:tr>
      <w:tr w:rsidR="009013C1" w:rsidTr="009013C1">
        <w:tc>
          <w:tcPr>
            <w:tcW w:w="1870" w:type="dxa"/>
          </w:tcPr>
          <w:p w:rsidR="009013C1" w:rsidRDefault="009013C1" w:rsidP="00E409BD">
            <w:pPr>
              <w:spacing w:line="360" w:lineRule="auto"/>
            </w:pPr>
            <w:r>
              <w:t>FL</w:t>
            </w:r>
          </w:p>
        </w:tc>
        <w:tc>
          <w:tcPr>
            <w:tcW w:w="1870" w:type="dxa"/>
          </w:tcPr>
          <w:p w:rsidR="009013C1" w:rsidRDefault="009013C1" w:rsidP="00E409BD">
            <w:pPr>
              <w:spacing w:line="360" w:lineRule="auto"/>
            </w:pPr>
          </w:p>
        </w:tc>
        <w:tc>
          <w:tcPr>
            <w:tcW w:w="1870" w:type="dxa"/>
          </w:tcPr>
          <w:p w:rsidR="009013C1" w:rsidRDefault="009013C1" w:rsidP="00E409BD">
            <w:pPr>
              <w:spacing w:line="360" w:lineRule="auto"/>
            </w:pPr>
            <w:r>
              <w:t>Borrowing</w:t>
            </w:r>
          </w:p>
        </w:tc>
        <w:tc>
          <w:tcPr>
            <w:tcW w:w="1870" w:type="dxa"/>
          </w:tcPr>
          <w:p w:rsidR="009013C1" w:rsidRDefault="009013C1" w:rsidP="00E409BD">
            <w:pPr>
              <w:spacing w:line="360" w:lineRule="auto"/>
            </w:pPr>
            <w:r>
              <w:t>Lending</w:t>
            </w:r>
          </w:p>
        </w:tc>
        <w:tc>
          <w:tcPr>
            <w:tcW w:w="1870" w:type="dxa"/>
          </w:tcPr>
          <w:p w:rsidR="009013C1" w:rsidRDefault="009013C1" w:rsidP="00E409BD">
            <w:pPr>
              <w:spacing w:line="360" w:lineRule="auto"/>
            </w:pPr>
          </w:p>
        </w:tc>
      </w:tr>
      <w:tr w:rsidR="009013C1" w:rsidTr="009013C1">
        <w:tc>
          <w:tcPr>
            <w:tcW w:w="1870" w:type="dxa"/>
          </w:tcPr>
          <w:p w:rsidR="009013C1" w:rsidRDefault="009013C1" w:rsidP="00E409BD">
            <w:pPr>
              <w:spacing w:line="360" w:lineRule="auto"/>
            </w:pPr>
            <w:r>
              <w:t>M</w:t>
            </w:r>
          </w:p>
        </w:tc>
        <w:tc>
          <w:tcPr>
            <w:tcW w:w="1870" w:type="dxa"/>
          </w:tcPr>
          <w:p w:rsidR="009013C1" w:rsidRDefault="009013C1" w:rsidP="00E409BD">
            <w:pPr>
              <w:spacing w:line="360" w:lineRule="auto"/>
            </w:pPr>
          </w:p>
        </w:tc>
        <w:tc>
          <w:tcPr>
            <w:tcW w:w="1870" w:type="dxa"/>
          </w:tcPr>
          <w:p w:rsidR="009013C1" w:rsidRDefault="009013C1" w:rsidP="00E409BD">
            <w:pPr>
              <w:spacing w:line="360" w:lineRule="auto"/>
            </w:pPr>
            <w:r>
              <w:t>Dishoarding</w:t>
            </w:r>
          </w:p>
        </w:tc>
        <w:tc>
          <w:tcPr>
            <w:tcW w:w="1870" w:type="dxa"/>
          </w:tcPr>
          <w:p w:rsidR="009013C1" w:rsidRDefault="009013C1" w:rsidP="00E409BD">
            <w:pPr>
              <w:spacing w:line="360" w:lineRule="auto"/>
            </w:pPr>
            <w:r>
              <w:t>Hoarding</w:t>
            </w:r>
          </w:p>
        </w:tc>
        <w:tc>
          <w:tcPr>
            <w:tcW w:w="1870" w:type="dxa"/>
          </w:tcPr>
          <w:p w:rsidR="009013C1" w:rsidRDefault="009013C1" w:rsidP="00E409BD">
            <w:pPr>
              <w:spacing w:line="360" w:lineRule="auto"/>
            </w:pPr>
          </w:p>
        </w:tc>
      </w:tr>
    </w:tbl>
    <w:p w:rsidR="00C2369F" w:rsidRDefault="00C2369F" w:rsidP="00E409BD">
      <w:pPr>
        <w:spacing w:line="360" w:lineRule="auto"/>
      </w:pPr>
      <w:r>
        <w:t xml:space="preserve"> </w:t>
      </w:r>
    </w:p>
    <w:p w:rsidR="00077F7E" w:rsidRDefault="009013C1" w:rsidP="00E409BD">
      <w:pPr>
        <w:spacing w:line="360" w:lineRule="auto"/>
      </w:pPr>
      <w:r>
        <w:t>In the first row, I show deficits and surpluses arising from mismatch between cash inflows and cash outflows on the Goods and Services account, which we are seeing here for the first time</w:t>
      </w:r>
      <w:r w:rsidR="00027CBF">
        <w:t xml:space="preserve"> (above the bold line)</w:t>
      </w:r>
      <w:r>
        <w:t xml:space="preserve">. </w:t>
      </w:r>
      <w:r w:rsidR="00E422AE">
        <w:t xml:space="preserve">  For present purposes, </w:t>
      </w:r>
      <w:r>
        <w:t xml:space="preserve">we </w:t>
      </w:r>
      <w:r w:rsidR="00ED4966">
        <w:t>leave investigation of</w:t>
      </w:r>
      <w:r w:rsidR="00E422AE">
        <w:t xml:space="preserve"> the origin of deficits and surpluses to one side, and focus instead on </w:t>
      </w:r>
      <w:r>
        <w:t>the variety of ways these deficits and surpluses can be met</w:t>
      </w:r>
      <w:r w:rsidR="00077F7E">
        <w:t xml:space="preserve"> (below the bold line)</w:t>
      </w:r>
      <w:r>
        <w:t xml:space="preserve">.  The </w:t>
      </w:r>
      <w:r w:rsidR="00B66941">
        <w:t>cash</w:t>
      </w:r>
      <w:r>
        <w:t xml:space="preserve"> method is shown in the fourth row </w:t>
      </w:r>
      <w:r w:rsidR="00B66941">
        <w:t xml:space="preserve">(M for “money”) </w:t>
      </w:r>
      <w:r>
        <w:t>involving a transfer of a demand claim from the deficit agent to a surplus agent.  The borrowing method is shown in the third row</w:t>
      </w:r>
      <w:r w:rsidR="00077F7E">
        <w:t xml:space="preserve"> (FL for Financial Liabilities)</w:t>
      </w:r>
      <w:r>
        <w:t>, and the liquidation method in the second row</w:t>
      </w:r>
      <w:r w:rsidR="00077F7E">
        <w:t xml:space="preserve"> (FA for Financial Assets)</w:t>
      </w:r>
      <w:r>
        <w:t>.  In the</w:t>
      </w:r>
      <w:r w:rsidR="001D70C3">
        <w:t xml:space="preserve"> previous</w:t>
      </w:r>
      <w:r>
        <w:t xml:space="preserve"> text we</w:t>
      </w:r>
      <w:r w:rsidR="00077F7E">
        <w:t xml:space="preserve"> have</w:t>
      </w:r>
      <w:r>
        <w:t xml:space="preserve"> imagine</w:t>
      </w:r>
      <w:r w:rsidR="00077F7E">
        <w:t>d</w:t>
      </w:r>
      <w:r>
        <w:t xml:space="preserve"> borrowing and liquidation as methods of acquiring money which is </w:t>
      </w:r>
      <w:r w:rsidR="00077F7E">
        <w:t xml:space="preserve">then </w:t>
      </w:r>
      <w:r>
        <w:t>subsequent</w:t>
      </w:r>
      <w:r w:rsidR="00077F7E">
        <w:t>ly</w:t>
      </w:r>
      <w:r>
        <w:t xml:space="preserve"> spent to meet the deficit.  </w:t>
      </w:r>
      <w:r w:rsidR="00B66941">
        <w:t xml:space="preserve">In Table 3, </w:t>
      </w:r>
      <w:r>
        <w:t>for simplicity, we just show the net, for both deficit and surplus agents.</w:t>
      </w:r>
    </w:p>
    <w:p w:rsidR="00077F7E" w:rsidRDefault="00077F7E" w:rsidP="00E409BD">
      <w:pPr>
        <w:spacing w:line="360" w:lineRule="auto"/>
      </w:pPr>
      <w:r>
        <w:t>T</w:t>
      </w:r>
      <w:r w:rsidR="00B66941">
        <w:t>able 3</w:t>
      </w:r>
      <w:r>
        <w:t xml:space="preserve"> shows settlement between deficit agents and surplus agents, </w:t>
      </w:r>
      <w:r w:rsidR="00ED4966">
        <w:t xml:space="preserve">implicitly </w:t>
      </w:r>
      <w:r>
        <w:t>assuming</w:t>
      </w:r>
      <w:r w:rsidR="00ED4966">
        <w:t xml:space="preserve"> that</w:t>
      </w:r>
      <w:r w:rsidR="00F34B8C">
        <w:t xml:space="preserve"> they find one another and come</w:t>
      </w:r>
      <w:r>
        <w:t xml:space="preserve"> to terms on price.  For completeness, it will be helpful to have in mind </w:t>
      </w:r>
      <w:r w:rsidR="00B66941">
        <w:t>also</w:t>
      </w:r>
      <w:r>
        <w:t xml:space="preserve"> how exactl</w:t>
      </w:r>
      <w:r w:rsidR="00CC36FB">
        <w:t xml:space="preserve">y the bank backstop </w:t>
      </w:r>
      <w:r>
        <w:t xml:space="preserve">works, </w:t>
      </w:r>
      <w:r w:rsidR="00F34B8C">
        <w:t>hence</w:t>
      </w:r>
      <w:r w:rsidR="00B66941">
        <w:t xml:space="preserve"> Table 4</w:t>
      </w:r>
      <w:r>
        <w:t>.</w:t>
      </w:r>
    </w:p>
    <w:p w:rsidR="00844120" w:rsidRDefault="00844120" w:rsidP="00E409BD">
      <w:pPr>
        <w:spacing w:line="360" w:lineRule="auto"/>
      </w:pPr>
    </w:p>
    <w:p w:rsidR="00B66941" w:rsidRPr="00B66941" w:rsidRDefault="00B66941" w:rsidP="00E409BD">
      <w:pPr>
        <w:spacing w:line="360" w:lineRule="auto"/>
        <w:jc w:val="center"/>
        <w:rPr>
          <w:b/>
        </w:rPr>
      </w:pPr>
      <w:r w:rsidRPr="00B66941">
        <w:rPr>
          <w:b/>
        </w:rPr>
        <w:t>Table 4</w:t>
      </w:r>
    </w:p>
    <w:p w:rsidR="00077F7E" w:rsidRDefault="00077F7E" w:rsidP="00E409BD">
      <w:pPr>
        <w:spacing w:line="360" w:lineRule="auto"/>
      </w:pPr>
      <w:r>
        <w:tab/>
      </w:r>
      <w:r>
        <w:tab/>
      </w:r>
      <w:r>
        <w:tab/>
      </w:r>
      <w:r>
        <w:tab/>
        <w:t>Deficit Agent</w:t>
      </w:r>
      <w:r>
        <w:tab/>
      </w:r>
      <w:r>
        <w:tab/>
      </w:r>
      <w:r>
        <w:tab/>
      </w:r>
      <w:r>
        <w:tab/>
      </w:r>
      <w:r>
        <w:tab/>
        <w:t>Bank</w:t>
      </w:r>
    </w:p>
    <w:tbl>
      <w:tblPr>
        <w:tblStyle w:val="Grilledutableau"/>
        <w:tblW w:w="0" w:type="auto"/>
        <w:tblLook w:val="04A0" w:firstRow="1" w:lastRow="0" w:firstColumn="1" w:lastColumn="0" w:noHBand="0" w:noVBand="1"/>
      </w:tblPr>
      <w:tblGrid>
        <w:gridCol w:w="1870"/>
        <w:gridCol w:w="1870"/>
        <w:gridCol w:w="1870"/>
        <w:gridCol w:w="1870"/>
        <w:gridCol w:w="1870"/>
      </w:tblGrid>
      <w:tr w:rsidR="00077F7E" w:rsidTr="005D2EF2">
        <w:tc>
          <w:tcPr>
            <w:tcW w:w="1870" w:type="dxa"/>
          </w:tcPr>
          <w:p w:rsidR="00077F7E" w:rsidRDefault="00077F7E" w:rsidP="00E409BD">
            <w:pPr>
              <w:spacing w:line="360" w:lineRule="auto"/>
            </w:pPr>
          </w:p>
        </w:tc>
        <w:tc>
          <w:tcPr>
            <w:tcW w:w="1870" w:type="dxa"/>
          </w:tcPr>
          <w:p w:rsidR="00077F7E" w:rsidRDefault="00077F7E" w:rsidP="00E409BD">
            <w:pPr>
              <w:spacing w:line="360" w:lineRule="auto"/>
            </w:pPr>
            <w:r>
              <w:t>Uses</w:t>
            </w:r>
          </w:p>
        </w:tc>
        <w:tc>
          <w:tcPr>
            <w:tcW w:w="1870" w:type="dxa"/>
          </w:tcPr>
          <w:p w:rsidR="00077F7E" w:rsidRDefault="00077F7E" w:rsidP="00E409BD">
            <w:pPr>
              <w:spacing w:line="360" w:lineRule="auto"/>
            </w:pPr>
            <w:r>
              <w:t>Sources</w:t>
            </w:r>
          </w:p>
        </w:tc>
        <w:tc>
          <w:tcPr>
            <w:tcW w:w="1870" w:type="dxa"/>
          </w:tcPr>
          <w:p w:rsidR="00077F7E" w:rsidRDefault="00077F7E" w:rsidP="00E409BD">
            <w:pPr>
              <w:spacing w:line="360" w:lineRule="auto"/>
            </w:pPr>
            <w:r>
              <w:t>Uses</w:t>
            </w:r>
          </w:p>
        </w:tc>
        <w:tc>
          <w:tcPr>
            <w:tcW w:w="1870" w:type="dxa"/>
          </w:tcPr>
          <w:p w:rsidR="00077F7E" w:rsidRDefault="00077F7E" w:rsidP="00E409BD">
            <w:pPr>
              <w:spacing w:line="360" w:lineRule="auto"/>
            </w:pPr>
            <w:r>
              <w:t>Sources</w:t>
            </w:r>
          </w:p>
        </w:tc>
      </w:tr>
      <w:tr w:rsidR="00077F7E" w:rsidTr="005D2EF2">
        <w:tc>
          <w:tcPr>
            <w:tcW w:w="1870" w:type="dxa"/>
            <w:tcBorders>
              <w:bottom w:val="single" w:sz="12" w:space="0" w:color="auto"/>
            </w:tcBorders>
          </w:tcPr>
          <w:p w:rsidR="00077F7E" w:rsidRDefault="00077F7E" w:rsidP="00E409BD">
            <w:pPr>
              <w:spacing w:line="360" w:lineRule="auto"/>
            </w:pPr>
            <w:r>
              <w:t xml:space="preserve">G&amp;S </w:t>
            </w:r>
          </w:p>
        </w:tc>
        <w:tc>
          <w:tcPr>
            <w:tcW w:w="1870" w:type="dxa"/>
            <w:tcBorders>
              <w:bottom w:val="single" w:sz="12" w:space="0" w:color="auto"/>
            </w:tcBorders>
          </w:tcPr>
          <w:p w:rsidR="00077F7E" w:rsidRDefault="00077F7E" w:rsidP="00E409BD">
            <w:pPr>
              <w:spacing w:line="360" w:lineRule="auto"/>
            </w:pPr>
          </w:p>
        </w:tc>
        <w:tc>
          <w:tcPr>
            <w:tcW w:w="1870" w:type="dxa"/>
            <w:tcBorders>
              <w:bottom w:val="single" w:sz="12" w:space="0" w:color="auto"/>
            </w:tcBorders>
          </w:tcPr>
          <w:p w:rsidR="00077F7E" w:rsidRDefault="00077F7E" w:rsidP="00E409BD">
            <w:pPr>
              <w:spacing w:line="360" w:lineRule="auto"/>
            </w:pPr>
          </w:p>
        </w:tc>
        <w:tc>
          <w:tcPr>
            <w:tcW w:w="1870" w:type="dxa"/>
            <w:tcBorders>
              <w:bottom w:val="single" w:sz="12" w:space="0" w:color="auto"/>
            </w:tcBorders>
          </w:tcPr>
          <w:p w:rsidR="00077F7E" w:rsidRDefault="00077F7E" w:rsidP="00E409BD">
            <w:pPr>
              <w:spacing w:line="360" w:lineRule="auto"/>
            </w:pPr>
          </w:p>
        </w:tc>
        <w:tc>
          <w:tcPr>
            <w:tcW w:w="1870" w:type="dxa"/>
            <w:tcBorders>
              <w:bottom w:val="single" w:sz="12" w:space="0" w:color="auto"/>
            </w:tcBorders>
          </w:tcPr>
          <w:p w:rsidR="00077F7E" w:rsidRDefault="00077F7E" w:rsidP="00E409BD">
            <w:pPr>
              <w:spacing w:line="360" w:lineRule="auto"/>
            </w:pPr>
          </w:p>
        </w:tc>
      </w:tr>
      <w:tr w:rsidR="00077F7E" w:rsidTr="005D2EF2">
        <w:tc>
          <w:tcPr>
            <w:tcW w:w="1870" w:type="dxa"/>
            <w:tcBorders>
              <w:top w:val="single" w:sz="12" w:space="0" w:color="auto"/>
            </w:tcBorders>
          </w:tcPr>
          <w:p w:rsidR="00077F7E" w:rsidRDefault="00077F7E" w:rsidP="00E409BD">
            <w:pPr>
              <w:spacing w:line="360" w:lineRule="auto"/>
            </w:pPr>
            <w:r>
              <w:t>FA</w:t>
            </w:r>
          </w:p>
        </w:tc>
        <w:tc>
          <w:tcPr>
            <w:tcW w:w="1870" w:type="dxa"/>
            <w:tcBorders>
              <w:top w:val="single" w:sz="12" w:space="0" w:color="auto"/>
            </w:tcBorders>
          </w:tcPr>
          <w:p w:rsidR="00077F7E" w:rsidRDefault="00077F7E" w:rsidP="00E409BD">
            <w:pPr>
              <w:spacing w:line="360" w:lineRule="auto"/>
            </w:pPr>
          </w:p>
        </w:tc>
        <w:tc>
          <w:tcPr>
            <w:tcW w:w="1870" w:type="dxa"/>
            <w:tcBorders>
              <w:top w:val="single" w:sz="12" w:space="0" w:color="auto"/>
            </w:tcBorders>
          </w:tcPr>
          <w:p w:rsidR="00077F7E" w:rsidRDefault="00077F7E" w:rsidP="00E409BD">
            <w:pPr>
              <w:spacing w:line="360" w:lineRule="auto"/>
            </w:pPr>
            <w:r>
              <w:t>Liquidation</w:t>
            </w:r>
          </w:p>
        </w:tc>
        <w:tc>
          <w:tcPr>
            <w:tcW w:w="1870" w:type="dxa"/>
            <w:tcBorders>
              <w:top w:val="single" w:sz="12" w:space="0" w:color="auto"/>
            </w:tcBorders>
          </w:tcPr>
          <w:p w:rsidR="00077F7E" w:rsidRDefault="00077F7E" w:rsidP="00E409BD">
            <w:pPr>
              <w:spacing w:line="360" w:lineRule="auto"/>
            </w:pPr>
            <w:r>
              <w:t>Accumulation</w:t>
            </w:r>
          </w:p>
        </w:tc>
        <w:tc>
          <w:tcPr>
            <w:tcW w:w="1870" w:type="dxa"/>
            <w:tcBorders>
              <w:top w:val="single" w:sz="12" w:space="0" w:color="auto"/>
            </w:tcBorders>
          </w:tcPr>
          <w:p w:rsidR="00077F7E" w:rsidRDefault="00077F7E" w:rsidP="00E409BD">
            <w:pPr>
              <w:spacing w:line="360" w:lineRule="auto"/>
            </w:pPr>
          </w:p>
        </w:tc>
      </w:tr>
      <w:tr w:rsidR="00077F7E" w:rsidTr="005D2EF2">
        <w:tc>
          <w:tcPr>
            <w:tcW w:w="1870" w:type="dxa"/>
          </w:tcPr>
          <w:p w:rsidR="00077F7E" w:rsidRDefault="00077F7E" w:rsidP="00E409BD">
            <w:pPr>
              <w:spacing w:line="360" w:lineRule="auto"/>
            </w:pPr>
            <w:r>
              <w:t>FL</w:t>
            </w:r>
          </w:p>
        </w:tc>
        <w:tc>
          <w:tcPr>
            <w:tcW w:w="1870" w:type="dxa"/>
          </w:tcPr>
          <w:p w:rsidR="00077F7E" w:rsidRDefault="00077F7E" w:rsidP="00E409BD">
            <w:pPr>
              <w:spacing w:line="360" w:lineRule="auto"/>
            </w:pPr>
          </w:p>
        </w:tc>
        <w:tc>
          <w:tcPr>
            <w:tcW w:w="1870" w:type="dxa"/>
          </w:tcPr>
          <w:p w:rsidR="00077F7E" w:rsidRDefault="00077F7E" w:rsidP="00E409BD">
            <w:pPr>
              <w:spacing w:line="360" w:lineRule="auto"/>
            </w:pPr>
            <w:r>
              <w:t>Borrowing</w:t>
            </w:r>
          </w:p>
        </w:tc>
        <w:tc>
          <w:tcPr>
            <w:tcW w:w="1870" w:type="dxa"/>
          </w:tcPr>
          <w:p w:rsidR="00077F7E" w:rsidRDefault="00077F7E" w:rsidP="00E409BD">
            <w:pPr>
              <w:spacing w:line="360" w:lineRule="auto"/>
            </w:pPr>
            <w:r>
              <w:t>Lending</w:t>
            </w:r>
          </w:p>
        </w:tc>
        <w:tc>
          <w:tcPr>
            <w:tcW w:w="1870" w:type="dxa"/>
          </w:tcPr>
          <w:p w:rsidR="00077F7E" w:rsidRDefault="00077F7E" w:rsidP="00E409BD">
            <w:pPr>
              <w:spacing w:line="360" w:lineRule="auto"/>
            </w:pPr>
          </w:p>
        </w:tc>
      </w:tr>
      <w:tr w:rsidR="00077F7E" w:rsidTr="005D2EF2">
        <w:tc>
          <w:tcPr>
            <w:tcW w:w="1870" w:type="dxa"/>
          </w:tcPr>
          <w:p w:rsidR="00077F7E" w:rsidRDefault="00077F7E" w:rsidP="00E409BD">
            <w:pPr>
              <w:spacing w:line="360" w:lineRule="auto"/>
            </w:pPr>
            <w:r>
              <w:t>M</w:t>
            </w:r>
          </w:p>
        </w:tc>
        <w:tc>
          <w:tcPr>
            <w:tcW w:w="1870" w:type="dxa"/>
          </w:tcPr>
          <w:p w:rsidR="00077F7E" w:rsidRDefault="00077F7E" w:rsidP="00E409BD">
            <w:pPr>
              <w:spacing w:line="360" w:lineRule="auto"/>
            </w:pPr>
            <w:r>
              <w:t>Hoarding</w:t>
            </w:r>
          </w:p>
        </w:tc>
        <w:tc>
          <w:tcPr>
            <w:tcW w:w="1870" w:type="dxa"/>
          </w:tcPr>
          <w:p w:rsidR="00077F7E" w:rsidRDefault="00077F7E" w:rsidP="00E409BD">
            <w:pPr>
              <w:spacing w:line="360" w:lineRule="auto"/>
            </w:pPr>
          </w:p>
        </w:tc>
        <w:tc>
          <w:tcPr>
            <w:tcW w:w="1870" w:type="dxa"/>
          </w:tcPr>
          <w:p w:rsidR="00077F7E" w:rsidRDefault="00077F7E" w:rsidP="00E409BD">
            <w:pPr>
              <w:spacing w:line="360" w:lineRule="auto"/>
            </w:pPr>
          </w:p>
        </w:tc>
        <w:tc>
          <w:tcPr>
            <w:tcW w:w="1870" w:type="dxa"/>
          </w:tcPr>
          <w:p w:rsidR="00077F7E" w:rsidRDefault="00077F7E" w:rsidP="00E409BD">
            <w:pPr>
              <w:spacing w:line="360" w:lineRule="auto"/>
            </w:pPr>
            <w:r>
              <w:t>Dishoarding</w:t>
            </w:r>
          </w:p>
        </w:tc>
      </w:tr>
    </w:tbl>
    <w:p w:rsidR="00746553" w:rsidRDefault="00746553" w:rsidP="00E409BD">
      <w:pPr>
        <w:spacing w:line="360" w:lineRule="auto"/>
      </w:pPr>
    </w:p>
    <w:p w:rsidR="00077F7E" w:rsidRDefault="00077F7E" w:rsidP="00E409BD">
      <w:pPr>
        <w:spacing w:line="360" w:lineRule="auto"/>
      </w:pPr>
      <w:r>
        <w:t xml:space="preserve">Here I show the new demand claims issued by the bank as a case of dishoarding, </w:t>
      </w:r>
      <w:r w:rsidR="00BF708E">
        <w:t>since the new claims are its liabilities, a source of funds that is used either to fund a new loan (lending) or</w:t>
      </w:r>
      <w:r w:rsidR="00553670">
        <w:t xml:space="preserve"> to</w:t>
      </w:r>
      <w:r w:rsidR="00BF708E">
        <w:t xml:space="preserve"> buy an existing asset (accumulation).  Note that the bank has no cash flows above the line</w:t>
      </w:r>
      <w:r w:rsidR="00553670">
        <w:t>, only below.  In both cases it</w:t>
      </w:r>
      <w:r w:rsidR="00BF708E">
        <w:t>s function is to supply demand claims to the deficit agent, which the deficit agent subsequently transfers in settlement to its non-bank counterparty</w:t>
      </w:r>
      <w:r w:rsidR="00844120">
        <w:t>, by dishoarding as in the fourth row of Table 3</w:t>
      </w:r>
      <w:r w:rsidR="00BF708E">
        <w:t>.</w:t>
      </w:r>
    </w:p>
    <w:p w:rsidR="00BF708E" w:rsidRDefault="00BF708E" w:rsidP="00E409BD">
      <w:pPr>
        <w:spacing w:line="360" w:lineRule="auto"/>
      </w:pPr>
    </w:p>
    <w:p w:rsidR="00077F7E" w:rsidRPr="00844120" w:rsidRDefault="00077F7E" w:rsidP="00E409BD">
      <w:pPr>
        <w:spacing w:line="360" w:lineRule="auto"/>
        <w:rPr>
          <w:b/>
          <w:sz w:val="28"/>
          <w:szCs w:val="28"/>
        </w:rPr>
      </w:pPr>
      <w:r w:rsidRPr="00844120">
        <w:rPr>
          <w:b/>
          <w:sz w:val="28"/>
          <w:szCs w:val="28"/>
        </w:rPr>
        <w:t>Hierarchy, Domestic and International</w:t>
      </w:r>
    </w:p>
    <w:p w:rsidR="00077F7E" w:rsidRDefault="00BF708E" w:rsidP="00E409BD">
      <w:pPr>
        <w:spacing w:line="360" w:lineRule="auto"/>
      </w:pPr>
      <w:r>
        <w:t>The somewhat awkward accounting treatment of the bank in</w:t>
      </w:r>
      <w:r w:rsidR="007B6C38">
        <w:t xml:space="preserve"> Table 4</w:t>
      </w:r>
      <w:r>
        <w:t xml:space="preserve">--“dishoarding” not as spending from previously accumulated balances but rather </w:t>
      </w:r>
      <w:r w:rsidR="00844120">
        <w:t xml:space="preserve">as </w:t>
      </w:r>
      <w:r>
        <w:t xml:space="preserve">creation of new negative balances--is symptomatic of a fundamental hierarchical feature of the abstraction </w:t>
      </w:r>
      <w:r w:rsidR="00ED4966">
        <w:t xml:space="preserve">that </w:t>
      </w:r>
      <w:r>
        <w:t>we are developing.  By construction, everyone can issue promises to pay, but only the bank</w:t>
      </w:r>
      <w:r w:rsidR="00F34B8C">
        <w:t xml:space="preserve"> can</w:t>
      </w:r>
      <w:r>
        <w:t xml:space="preserve"> issue demand claims that function as money.  Non-banks settle by transferring these claims among themselves, borrowing or liquidating as </w:t>
      </w:r>
      <w:r w:rsidR="00F34B8C">
        <w:t>needed to acquire them, mostly between</w:t>
      </w:r>
      <w:r>
        <w:t xml:space="preserve"> one another but at least possibly from the bank itself.</w:t>
      </w:r>
    </w:p>
    <w:p w:rsidR="00BF708E" w:rsidRDefault="005008A6" w:rsidP="00E409BD">
      <w:pPr>
        <w:spacing w:line="360" w:lineRule="auto"/>
      </w:pPr>
      <w:r>
        <w:t xml:space="preserve">So far our hierarchy has only two layers, the bank and everyone else, but an immediate extension is to imagine a further hierarchy within the monetary and financial system itself.  </w:t>
      </w:r>
      <w:r w:rsidR="00553670">
        <w:t>Toward this end, l</w:t>
      </w:r>
      <w:r w:rsidR="00FB0A50">
        <w:t>et us suppose that t</w:t>
      </w:r>
      <w:r>
        <w:t xml:space="preserve">here is not one big bank but rather multiple banks, so </w:t>
      </w:r>
      <w:r w:rsidR="00F34B8C">
        <w:t xml:space="preserve">that </w:t>
      </w:r>
      <w:r>
        <w:t xml:space="preserve">the problem of </w:t>
      </w:r>
      <w:r w:rsidR="00F34B8C">
        <w:t xml:space="preserve">(retail) </w:t>
      </w:r>
      <w:r>
        <w:t xml:space="preserve">settlement between </w:t>
      </w:r>
      <w:r w:rsidR="00C71BDF">
        <w:t xml:space="preserve">deficit agents and surplus agents becomes a problem of </w:t>
      </w:r>
      <w:r w:rsidR="00F34B8C">
        <w:t xml:space="preserve">(wholesale) </w:t>
      </w:r>
      <w:r w:rsidR="00C71BDF">
        <w:t xml:space="preserve">settlement between the bank of the deficit agent and the bank of the surplus agent.  </w:t>
      </w:r>
      <w:r w:rsidR="00ED4966">
        <w:t>T</w:t>
      </w:r>
      <w:r w:rsidR="00C71BDF">
        <w:t xml:space="preserve">he question </w:t>
      </w:r>
      <w:r w:rsidR="00D132F3">
        <w:t>then</w:t>
      </w:r>
      <w:r w:rsidR="00ED4966">
        <w:t xml:space="preserve"> </w:t>
      </w:r>
      <w:r w:rsidR="00C71BDF">
        <w:t>arises what banks themselves find to be acce</w:t>
      </w:r>
      <w:r w:rsidR="00FB0A50">
        <w:t>ptable means of payment</w:t>
      </w:r>
      <w:r w:rsidR="00A9222B">
        <w:t>.  H</w:t>
      </w:r>
      <w:r w:rsidR="00FB0A50">
        <w:t xml:space="preserve">ere we posit the emergence of a central bank, whether private or public we need not specify at this point.  </w:t>
      </w:r>
    </w:p>
    <w:p w:rsidR="00FB0A50" w:rsidRDefault="00A9222B" w:rsidP="00E409BD">
      <w:pPr>
        <w:spacing w:line="360" w:lineRule="auto"/>
      </w:pPr>
      <w:r>
        <w:t xml:space="preserve">A further immediate extension is to imagine a world of multiple central banks, </w:t>
      </w:r>
      <w:r w:rsidR="007B6C38">
        <w:t xml:space="preserve">each in its own country with </w:t>
      </w:r>
      <w:r w:rsidR="00844120">
        <w:t>its own native currency</w:t>
      </w:r>
      <w:r>
        <w:t xml:space="preserve">, and so the question </w:t>
      </w:r>
      <w:r w:rsidR="00D132F3">
        <w:t xml:space="preserve">then </w:t>
      </w:r>
      <w:r>
        <w:t>arises what central banks find to be acceptable payment</w:t>
      </w:r>
      <w:r w:rsidR="00844120">
        <w:t xml:space="preserve"> between themselves</w:t>
      </w:r>
      <w:r>
        <w:t xml:space="preserve">.  Here we posit the emergence of a </w:t>
      </w:r>
      <w:r w:rsidR="007B6C38">
        <w:t>“</w:t>
      </w:r>
      <w:r>
        <w:t>key currency</w:t>
      </w:r>
      <w:r w:rsidR="007B6C38">
        <w:t>”</w:t>
      </w:r>
      <w:r>
        <w:t xml:space="preserve">, the </w:t>
      </w:r>
      <w:r w:rsidR="00F34B8C">
        <w:t>native</w:t>
      </w:r>
      <w:r>
        <w:t xml:space="preserve"> currency of one par</w:t>
      </w:r>
      <w:r w:rsidR="00553670">
        <w:t>ticular country</w:t>
      </w:r>
      <w:r>
        <w:t xml:space="preserve"> whose banking system serves as international money.</w:t>
      </w:r>
      <w:r w:rsidR="007D0F82">
        <w:t xml:space="preserve">  So </w:t>
      </w:r>
      <w:r w:rsidR="00553670">
        <w:t xml:space="preserve">now </w:t>
      </w:r>
      <w:r w:rsidR="007D0F82">
        <w:t>we have a hierarchy with four layers:  securities at the bottom are promises to pay bank deposits, bank deposits are promises to pay central bank money, and central bank money is a promise to pay international money.</w:t>
      </w:r>
      <w:r w:rsidR="00844120">
        <w:t xml:space="preserve">  Graph 1 depicts that hierarchy as a pyramid, with the ultimate money at the top and credit at the bottom, means of payment and promises to pay respectively.</w:t>
      </w:r>
    </w:p>
    <w:p w:rsidR="00F34B8C" w:rsidRDefault="00F34B8C" w:rsidP="00F34B8C">
      <w:pPr>
        <w:spacing w:line="360" w:lineRule="auto"/>
      </w:pPr>
      <w:r>
        <w:t xml:space="preserve">Everything we said about the two-layer hierarchy remains true for this more elaborated hierarchy, although importantly what counts as money and what counts as credit depends on what layer we are talking about.  Bank deposits are money for non-banks, but merely credit for other banks.  Central bank deposits are money for banks, but merely credit for other central banks.  </w:t>
      </w:r>
    </w:p>
    <w:p w:rsidR="00F34B8C" w:rsidRDefault="00F34B8C" w:rsidP="00F34B8C">
      <w:pPr>
        <w:spacing w:line="360" w:lineRule="auto"/>
      </w:pPr>
    </w:p>
    <w:p w:rsidR="00F34B8C" w:rsidRDefault="00F34B8C" w:rsidP="00F34B8C">
      <w:pPr>
        <w:spacing w:line="360" w:lineRule="auto"/>
      </w:pPr>
    </w:p>
    <w:p w:rsidR="00F34B8C" w:rsidRDefault="00F34B8C" w:rsidP="00F34B8C">
      <w:pPr>
        <w:spacing w:line="360" w:lineRule="auto"/>
      </w:pPr>
    </w:p>
    <w:p w:rsidR="00F34B8C" w:rsidRDefault="00F34B8C" w:rsidP="00F34B8C">
      <w:pPr>
        <w:spacing w:line="360" w:lineRule="auto"/>
      </w:pPr>
    </w:p>
    <w:p w:rsidR="00F34B8C" w:rsidRDefault="00F34B8C" w:rsidP="00F34B8C">
      <w:pPr>
        <w:spacing w:line="360" w:lineRule="auto"/>
      </w:pPr>
    </w:p>
    <w:p w:rsidR="00F34B8C" w:rsidRDefault="00F34B8C" w:rsidP="00F34B8C">
      <w:pPr>
        <w:spacing w:line="360" w:lineRule="auto"/>
      </w:pPr>
    </w:p>
    <w:p w:rsidR="00F34B8C" w:rsidRDefault="00F34B8C" w:rsidP="00F34B8C">
      <w:pPr>
        <w:spacing w:line="360" w:lineRule="auto"/>
      </w:pPr>
    </w:p>
    <w:p w:rsidR="007D0F82" w:rsidRPr="00F34B8C" w:rsidRDefault="00F34B8C" w:rsidP="00F34B8C">
      <w:pPr>
        <w:spacing w:line="360" w:lineRule="auto"/>
        <w:jc w:val="center"/>
        <w:rPr>
          <w:b/>
        </w:rPr>
      </w:pPr>
      <w:r w:rsidRPr="00F34B8C">
        <w:rPr>
          <w:b/>
        </w:rPr>
        <w:t>Graph 1</w:t>
      </w:r>
    </w:p>
    <w:p w:rsidR="00077F7E" w:rsidRDefault="007D0F82" w:rsidP="00E409BD">
      <w:pPr>
        <w:spacing w:line="360" w:lineRule="auto"/>
      </w:pPr>
      <w:r>
        <w:rPr>
          <w:noProof/>
        </w:rPr>
        <w:drawing>
          <wp:inline distT="0" distB="0" distL="0" distR="0">
            <wp:extent cx="5486400" cy="3200400"/>
            <wp:effectExtent l="0" t="1905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77F7E" w:rsidRDefault="00077F7E" w:rsidP="00E409BD">
      <w:pPr>
        <w:spacing w:line="360" w:lineRule="auto"/>
      </w:pPr>
    </w:p>
    <w:p w:rsidR="007D0F82" w:rsidRDefault="007D0F82" w:rsidP="00E409BD">
      <w:pPr>
        <w:spacing w:line="360" w:lineRule="auto"/>
      </w:pPr>
      <w:r>
        <w:t>At each layer, settlement invol</w:t>
      </w:r>
      <w:r w:rsidR="00844120">
        <w:t xml:space="preserve">ves transfer of </w:t>
      </w:r>
      <w:r>
        <w:t>demand claim</w:t>
      </w:r>
      <w:r w:rsidR="00844120">
        <w:t>s</w:t>
      </w:r>
      <w:r w:rsidR="001D70C3">
        <w:t xml:space="preserve"> that have been</w:t>
      </w:r>
      <w:r>
        <w:t xml:space="preserve"> </w:t>
      </w:r>
      <w:r w:rsidR="001D70C3">
        <w:t>issued by the layer above.  That</w:t>
      </w:r>
      <w:r>
        <w:t xml:space="preserve"> is the discipline in the system, and </w:t>
      </w:r>
      <w:r w:rsidR="008772A1">
        <w:t xml:space="preserve">also </w:t>
      </w:r>
      <w:r>
        <w:t>the incentive for eac</w:t>
      </w:r>
      <w:r w:rsidR="00817002">
        <w:t>h layer to hold the liabilities of the layer above as reserves.  But in each layer that discipline can also be relaxed by mechanisms of borrowing and liquidation which transfer reserve holdings from surplus agents to deficit agents</w:t>
      </w:r>
      <w:r w:rsidR="00553670">
        <w:t>, and also by last resort lending from the layer above</w:t>
      </w:r>
      <w:r w:rsidR="00817002">
        <w:t xml:space="preserve">.  As we move up the hierarchy, the problem of finding the necessary counterparty </w:t>
      </w:r>
      <w:r w:rsidR="00844120">
        <w:t xml:space="preserve">arguably </w:t>
      </w:r>
      <w:r w:rsidR="00817002">
        <w:t xml:space="preserve">gets easier, simply because the system is more concentrated, with fewer players who are moreover in regular interaction with one another. </w:t>
      </w:r>
      <w:r w:rsidR="007B6C38">
        <w:t xml:space="preserve"> (This is one reason that organized clearinghouses and settlement systems emerge naturally.) </w:t>
      </w:r>
      <w:r w:rsidR="00817002">
        <w:t xml:space="preserve"> But the problem of price remains.</w:t>
      </w:r>
    </w:p>
    <w:p w:rsidR="007D0F82" w:rsidRDefault="00817002" w:rsidP="00E409BD">
      <w:pPr>
        <w:spacing w:line="360" w:lineRule="auto"/>
      </w:pPr>
      <w:r>
        <w:t xml:space="preserve">Two prices are key, the price of borrowing and the price of liquidation, which we may provisionally identify with the money market and the capital market respectively.  Concretely, banks that need to settle with one another can borrow/lend in the wholesale money market, or sell/buy some “secondary” reserve asset in liquid capital markets.  In a later section, we will be considering how </w:t>
      </w:r>
      <w:r w:rsidR="00844120">
        <w:t>the</w:t>
      </w:r>
      <w:r>
        <w:t>se prices</w:t>
      </w:r>
      <w:r w:rsidR="00844120">
        <w:t xml:space="preserve"> are determined</w:t>
      </w:r>
      <w:r>
        <w:t>.  For now the point to hold on to is that, in accord</w:t>
      </w:r>
      <w:r w:rsidR="00844120">
        <w:t>ance</w:t>
      </w:r>
      <w:r>
        <w:t xml:space="preserve"> with our operating one-big-bank image, we imagine that these two prices are determined in a single </w:t>
      </w:r>
      <w:r w:rsidR="00553670">
        <w:t xml:space="preserve">global </w:t>
      </w:r>
      <w:r>
        <w:t>market.  Perhaps different banks pay slightly different rates and</w:t>
      </w:r>
      <w:r w:rsidR="00844120">
        <w:t xml:space="preserve"> perhaps</w:t>
      </w:r>
      <w:r>
        <w:t xml:space="preserve"> different securities sell for slightly different prices depending on risks of various kinds, but the overall </w:t>
      </w:r>
      <w:r w:rsidR="00B30F30">
        <w:t xml:space="preserve">complex of </w:t>
      </w:r>
      <w:r w:rsidR="00F34B8C">
        <w:t>rates and prices moves together (see Neilson</w:t>
      </w:r>
      <w:r w:rsidR="00D132F3">
        <w:t xml:space="preserve"> 2021</w:t>
      </w:r>
      <w:r w:rsidR="00F34B8C">
        <w:t>).</w:t>
      </w:r>
      <w:r w:rsidR="008772A1">
        <w:t xml:space="preserve">  </w:t>
      </w:r>
    </w:p>
    <w:p w:rsidR="008772A1" w:rsidRDefault="00F34B8C" w:rsidP="00E409BD">
      <w:pPr>
        <w:spacing w:line="360" w:lineRule="auto"/>
      </w:pPr>
      <w:r>
        <w:t>In the money view, t</w:t>
      </w:r>
      <w:r w:rsidR="000267DD">
        <w:t xml:space="preserve">he world is </w:t>
      </w:r>
      <w:r w:rsidR="00553670">
        <w:t xml:space="preserve">thus </w:t>
      </w:r>
      <w:r w:rsidR="000267DD">
        <w:t>a web of interlocking promises to pay stretching out into the unknown future</w:t>
      </w:r>
      <w:r w:rsidR="00D132F3">
        <w:t>, a web</w:t>
      </w:r>
      <w:r w:rsidR="000267DD">
        <w:t xml:space="preserve"> that connects everyone to everyone</w:t>
      </w:r>
      <w:r w:rsidR="00632940">
        <w:t xml:space="preserve"> else</w:t>
      </w:r>
      <w:r w:rsidR="000267DD">
        <w:t>.  At any moment in time, the state of that web is reflected in the complex of</w:t>
      </w:r>
      <w:r w:rsidR="00553670">
        <w:t xml:space="preserve"> </w:t>
      </w:r>
      <w:r w:rsidR="00632940">
        <w:t xml:space="preserve">interest </w:t>
      </w:r>
      <w:r w:rsidR="00553670">
        <w:t xml:space="preserve">rates and </w:t>
      </w:r>
      <w:r w:rsidR="00632940">
        <w:t xml:space="preserve">asset </w:t>
      </w:r>
      <w:r w:rsidR="00553670">
        <w:t>prices, which</w:t>
      </w:r>
      <w:r w:rsidR="000267DD">
        <w:t xml:space="preserve"> everyone knows are subject to change over time.  </w:t>
      </w:r>
      <w:r w:rsidR="008772A1">
        <w:t>Th</w:t>
      </w:r>
      <w:r w:rsidR="000267DD">
        <w:t xml:space="preserve">e point to hold on to is that </w:t>
      </w:r>
      <w:r w:rsidR="008772A1">
        <w:t>agents who are contemplating the issue or acceptance of a promise to pay</w:t>
      </w:r>
      <w:r w:rsidR="000267DD">
        <w:t>, no matter what layer of the hierarchy they are in,</w:t>
      </w:r>
      <w:r w:rsidR="008772A1">
        <w:t xml:space="preserve"> will b</w:t>
      </w:r>
      <w:r w:rsidR="009C2561">
        <w:t>e keeping in mind the operation</w:t>
      </w:r>
      <w:r w:rsidR="008772A1">
        <w:t xml:space="preserve"> of the system as a whole which determine</w:t>
      </w:r>
      <w:r w:rsidR="009C2561">
        <w:t>s</w:t>
      </w:r>
      <w:r w:rsidR="008772A1">
        <w:t xml:space="preserve"> th</w:t>
      </w:r>
      <w:r w:rsidR="00844120">
        <w:t>e present price of their</w:t>
      </w:r>
      <w:r w:rsidR="00632940">
        <w:t xml:space="preserve"> promise</w:t>
      </w:r>
      <w:r w:rsidR="00844120">
        <w:t>s</w:t>
      </w:r>
      <w:r>
        <w:t>,</w:t>
      </w:r>
      <w:r w:rsidR="008772A1">
        <w:t xml:space="preserve"> </w:t>
      </w:r>
      <w:r w:rsidR="00553670">
        <w:t>and</w:t>
      </w:r>
      <w:r w:rsidR="00844120">
        <w:t xml:space="preserve"> also the</w:t>
      </w:r>
      <w:r w:rsidR="008772A1">
        <w:t xml:space="preserve"> possible future price </w:t>
      </w:r>
      <w:r w:rsidR="007B6C38">
        <w:t xml:space="preserve">of those promises </w:t>
      </w:r>
      <w:r w:rsidR="008772A1">
        <w:t>and the price of future refinance should</w:t>
      </w:r>
      <w:r w:rsidR="00553670">
        <w:t xml:space="preserve"> liquidation or borrowing</w:t>
      </w:r>
      <w:r w:rsidR="008772A1">
        <w:t xml:space="preserve"> prove necessary.</w:t>
      </w:r>
      <w:r>
        <w:t xml:space="preserve">  I</w:t>
      </w:r>
      <w:r w:rsidR="00CC36FB">
        <w:t>mportantly, i</w:t>
      </w:r>
      <w:r>
        <w:t>ndividuals with time-dated anticipated cash inflows and outflows (quantities) confront the possibility of trading these</w:t>
      </w:r>
      <w:r w:rsidR="00D132F3">
        <w:t xml:space="preserve"> anticipated flows with the res</w:t>
      </w:r>
      <w:r>
        <w:t>t of the world (prices) in order to adjust their anticipated future net flows as well as their present</w:t>
      </w:r>
      <w:r w:rsidR="00D132F3">
        <w:t xml:space="preserve"> net flows</w:t>
      </w:r>
      <w:r>
        <w:t>.</w:t>
      </w:r>
      <w:r w:rsidR="007B6C38">
        <w:t xml:space="preserve">  In this way, in the money</w:t>
      </w:r>
      <w:r w:rsidR="001D70C3">
        <w:t xml:space="preserve"> view</w:t>
      </w:r>
      <w:r w:rsidR="007B6C38">
        <w:t xml:space="preserve"> the question of portfolio choice is substantially about the alignment, or strategic disalignment, of future cash outflows and inflows.</w:t>
      </w:r>
      <w:r w:rsidR="008772A1">
        <w:t xml:space="preserve">    </w:t>
      </w:r>
    </w:p>
    <w:p w:rsidR="000267DD" w:rsidRDefault="000267DD" w:rsidP="00E409BD">
      <w:pPr>
        <w:spacing w:line="360" w:lineRule="auto"/>
      </w:pPr>
      <w:r>
        <w:t xml:space="preserve">The introduction of these additional layers of hierarchy involves also </w:t>
      </w:r>
      <w:r w:rsidR="00632940">
        <w:t xml:space="preserve">two </w:t>
      </w:r>
      <w:r>
        <w:t>additional prices</w:t>
      </w:r>
      <w:r w:rsidR="00844120">
        <w:t xml:space="preserve">, between the </w:t>
      </w:r>
      <w:r w:rsidR="00553670">
        <w:t>forms of money at the different layers</w:t>
      </w:r>
      <w:r>
        <w:t xml:space="preserve">.  </w:t>
      </w:r>
      <w:r w:rsidR="00844120">
        <w:t>Just so, t</w:t>
      </w:r>
      <w:r>
        <w:t>he price of “par” is the price of bank deposits in terms of central bank deposits</w:t>
      </w:r>
      <w:r w:rsidR="00D627A2">
        <w:t>.  S</w:t>
      </w:r>
      <w:r>
        <w:t>ince deposits are promises to pay central bank money on demand, that p</w:t>
      </w:r>
      <w:r w:rsidR="00D627A2">
        <w:t xml:space="preserve">rice had better be one, </w:t>
      </w:r>
      <w:r>
        <w:t>in effect a fixed exchange rate between money at two different levels of the hiera</w:t>
      </w:r>
      <w:r w:rsidR="00A32DEC">
        <w:t xml:space="preserve">rchy.  </w:t>
      </w:r>
      <w:r w:rsidR="001D70C3">
        <w:t>For</w:t>
      </w:r>
      <w:r w:rsidR="00A32DEC">
        <w:t xml:space="preserve"> defense of </w:t>
      </w:r>
      <w:r w:rsidR="007B6C38">
        <w:t>par</w:t>
      </w:r>
      <w:r w:rsidR="00A32DEC">
        <w:t>, banks</w:t>
      </w:r>
      <w:r w:rsidR="00844120">
        <w:t xml:space="preserve"> may</w:t>
      </w:r>
      <w:r w:rsidR="00A32DEC">
        <w:t xml:space="preserve"> hold reserves but also typically have privileged access to</w:t>
      </w:r>
      <w:r w:rsidR="00F34B8C">
        <w:t xml:space="preserve"> wholesale money markets and ultimately</w:t>
      </w:r>
      <w:r w:rsidR="00A32DEC">
        <w:t xml:space="preserve"> central bank credit; the result is that fluctuation in demand between the two types of money typically shows up as fluctuation in quantity not in price.  This is one end of the spectrum.</w:t>
      </w:r>
    </w:p>
    <w:p w:rsidR="00A32DEC" w:rsidRDefault="00A32DEC" w:rsidP="00E409BD">
      <w:pPr>
        <w:spacing w:line="360" w:lineRule="auto"/>
      </w:pPr>
      <w:r>
        <w:t>At the other end of the spectrum is the “exchange rate”, the price of one central ba</w:t>
      </w:r>
      <w:r w:rsidR="00D627A2">
        <w:t>nk</w:t>
      </w:r>
      <w:r w:rsidR="00844120">
        <w:t>’s</w:t>
      </w:r>
      <w:r w:rsidR="00D627A2">
        <w:t xml:space="preserve"> currency in terms of another</w:t>
      </w:r>
      <w:r w:rsidR="00844120">
        <w:t>’s</w:t>
      </w:r>
      <w:r>
        <w:t xml:space="preserve"> or, lower down the hierarchy, the price of one country’s bank deposits in terms of another’s.  Some central bank</w:t>
      </w:r>
      <w:r w:rsidR="00844120">
        <w:t>s may peg their</w:t>
      </w:r>
      <w:r>
        <w:t xml:space="preserve"> currency to another</w:t>
      </w:r>
      <w:r w:rsidR="00F34B8C">
        <w:t xml:space="preserve"> (e.g. the key currency)</w:t>
      </w:r>
      <w:r>
        <w:t xml:space="preserve">, and commit to defend that peg, but always the peg is provisional, so we call it a fixed exchange rate rather than par, </w:t>
      </w:r>
      <w:r w:rsidR="00F34B8C">
        <w:t>to allow</w:t>
      </w:r>
      <w:r>
        <w:t xml:space="preserve"> for the possibility that the price may change under some future circumstance.  More generally, exchange rates are not </w:t>
      </w:r>
      <w:r w:rsidR="00632940">
        <w:t>pegged</w:t>
      </w:r>
      <w:r>
        <w:t xml:space="preserve">, but </w:t>
      </w:r>
      <w:r w:rsidR="00D627A2">
        <w:t xml:space="preserve">also they are </w:t>
      </w:r>
      <w:r>
        <w:t xml:space="preserve">usually not left simply to fluctuate in response to every vagary of demand.  We leave to a later section consideration of how </w:t>
      </w:r>
      <w:r w:rsidR="00D627A2">
        <w:t xml:space="preserve">exactly </w:t>
      </w:r>
      <w:r>
        <w:t xml:space="preserve">the </w:t>
      </w:r>
      <w:r w:rsidR="00D627A2">
        <w:t>exchange rate is</w:t>
      </w:r>
      <w:r>
        <w:t xml:space="preserve"> </w:t>
      </w:r>
      <w:r w:rsidR="00844120">
        <w:t>determined</w:t>
      </w:r>
      <w:r>
        <w:t xml:space="preserve">.  For now, the important thing to have in mind is </w:t>
      </w:r>
      <w:r w:rsidR="00D627A2">
        <w:t>that the</w:t>
      </w:r>
      <w:r w:rsidR="006C1F0D">
        <w:t xml:space="preserve"> multiplicity of</w:t>
      </w:r>
      <w:r w:rsidR="00844120">
        <w:t xml:space="preserve"> national</w:t>
      </w:r>
      <w:r w:rsidR="006C1F0D">
        <w:t xml:space="preserve"> money is itself hierarchical.</w:t>
      </w:r>
    </w:p>
    <w:p w:rsidR="00D627A2" w:rsidRDefault="006C1F0D" w:rsidP="00E409BD">
      <w:pPr>
        <w:spacing w:line="360" w:lineRule="auto"/>
      </w:pPr>
      <w:r>
        <w:t xml:space="preserve">We have already </w:t>
      </w:r>
      <w:r w:rsidR="00844120">
        <w:t xml:space="preserve">introduced </w:t>
      </w:r>
      <w:r>
        <w:t>two layers of that</w:t>
      </w:r>
      <w:r w:rsidR="00844120">
        <w:t xml:space="preserve"> international</w:t>
      </w:r>
      <w:r w:rsidR="00D627A2">
        <w:t xml:space="preserve"> monetary</w:t>
      </w:r>
      <w:r>
        <w:t xml:space="preserve"> hierarchy, in the distinction between key currency and central bank currency.  But central bank currencies are themselves organized hierarchically.  Exactly why this is so, and what are its implications for policy, we will come to in time.  But until that time it will be useful to have in mind the hierarchy sketched </w:t>
      </w:r>
      <w:r w:rsidR="00844120">
        <w:t>in Graph 2</w:t>
      </w:r>
      <w:r>
        <w:t xml:space="preserve">.  </w:t>
      </w:r>
      <w:r w:rsidR="00D627A2">
        <w:t xml:space="preserve">The dollar is the key currency, major currencies of the Global North are just below, more minor currencies of the Global South lie below that, and then everyone else.  </w:t>
      </w:r>
    </w:p>
    <w:p w:rsidR="00CC36FB" w:rsidRDefault="00CC36FB" w:rsidP="00E409BD">
      <w:pPr>
        <w:spacing w:line="360" w:lineRule="auto"/>
      </w:pPr>
    </w:p>
    <w:p w:rsidR="00844120" w:rsidRPr="00844120" w:rsidRDefault="00844120" w:rsidP="00E409BD">
      <w:pPr>
        <w:spacing w:line="360" w:lineRule="auto"/>
        <w:jc w:val="center"/>
        <w:rPr>
          <w:b/>
        </w:rPr>
      </w:pPr>
      <w:r w:rsidRPr="00844120">
        <w:rPr>
          <w:b/>
        </w:rPr>
        <w:t>Graph 2</w:t>
      </w:r>
    </w:p>
    <w:p w:rsidR="006C1F0D" w:rsidRDefault="006C1F0D" w:rsidP="00E409BD">
      <w:pPr>
        <w:spacing w:line="360" w:lineRule="auto"/>
      </w:pPr>
      <w:r>
        <w:rPr>
          <w:noProof/>
        </w:rPr>
        <w:drawing>
          <wp:inline distT="0" distB="0" distL="0" distR="0">
            <wp:extent cx="5486400" cy="3200400"/>
            <wp:effectExtent l="0" t="1905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44120" w:rsidRDefault="00844120" w:rsidP="00E409BD">
      <w:pPr>
        <w:spacing w:line="360" w:lineRule="auto"/>
      </w:pPr>
    </w:p>
    <w:p w:rsidR="00F34B8C" w:rsidRDefault="00F34B8C" w:rsidP="00F34B8C">
      <w:pPr>
        <w:spacing w:line="360" w:lineRule="auto"/>
      </w:pPr>
      <w:r>
        <w:t xml:space="preserve">All countries face the problem of managing their interface with the global monetary and financial system, in which the global prices of money at both short and long term are determined.  But that interface is radically different depending on where you are in the global hierarchy of money.  Just so, in Table 2 above, we emphasized </w:t>
      </w:r>
      <w:r w:rsidR="007B6C38">
        <w:t>that</w:t>
      </w:r>
      <w:r>
        <w:t xml:space="preserve"> the global shadow banking system is also a key currency (dollar) system, </w:t>
      </w:r>
      <w:r w:rsidR="007B6C38">
        <w:t>and pointed out the</w:t>
      </w:r>
      <w:r>
        <w:t xml:space="preserve"> challenge</w:t>
      </w:r>
      <w:r w:rsidR="007B6C38">
        <w:t xml:space="preserve"> that poses</w:t>
      </w:r>
      <w:r>
        <w:t xml:space="preserve"> for non-dollar countries.  Our stylized example implicitly had three layers of hierarchy—USD, then EUR and JPY, then “peso”.  And the different layers relied on different mechanisms to manage their interface with the global system—borrowed reserves for EUR and JPY but   owned reserves for the “peso”.  In Table 2, the hierarchy was thus already implicit; now we make it explicit.</w:t>
      </w:r>
    </w:p>
    <w:p w:rsidR="00F34B8C" w:rsidRDefault="00F34B8C" w:rsidP="00E409BD">
      <w:pPr>
        <w:spacing w:line="360" w:lineRule="auto"/>
        <w:rPr>
          <w:b/>
          <w:sz w:val="28"/>
          <w:szCs w:val="28"/>
        </w:rPr>
      </w:pPr>
    </w:p>
    <w:p w:rsidR="00746553" w:rsidRPr="00B32357" w:rsidRDefault="00746553" w:rsidP="00E409BD">
      <w:pPr>
        <w:spacing w:line="360" w:lineRule="auto"/>
        <w:rPr>
          <w:b/>
          <w:sz w:val="28"/>
          <w:szCs w:val="28"/>
        </w:rPr>
      </w:pPr>
      <w:r w:rsidRPr="00B32357">
        <w:rPr>
          <w:b/>
          <w:sz w:val="28"/>
          <w:szCs w:val="28"/>
        </w:rPr>
        <w:t>Flux and Reflux</w:t>
      </w:r>
    </w:p>
    <w:p w:rsidR="00507905" w:rsidRDefault="00D627A2" w:rsidP="00E409BD">
      <w:pPr>
        <w:spacing w:line="360" w:lineRule="auto"/>
      </w:pPr>
      <w:r>
        <w:t>Up t</w:t>
      </w:r>
      <w:r w:rsidR="00D6632B">
        <w:t xml:space="preserve">o this point, we have put central emphasis on the discipline of settlement, which forces individuals to pay attention to their interface with the larger economy, </w:t>
      </w:r>
      <w:r w:rsidR="00B32357">
        <w:t>i.e. forces them to attend</w:t>
      </w:r>
      <w:r w:rsidR="00D6632B">
        <w:t xml:space="preserve"> to the time pattern of cash inflows from and outflows to that larger economy.  What counts as cash depends on where you are in the hierarchy of money, but</w:t>
      </w:r>
      <w:r w:rsidR="00B32357">
        <w:t xml:space="preserve"> the</w:t>
      </w:r>
      <w:r w:rsidR="00D6632B">
        <w:t xml:space="preserve"> discipline </w:t>
      </w:r>
      <w:r w:rsidR="00B32357">
        <w:t xml:space="preserve">of settlement </w:t>
      </w:r>
      <w:r w:rsidR="00D6632B">
        <w:t>is ubiquitous</w:t>
      </w:r>
      <w:r w:rsidR="00507905">
        <w:t xml:space="preserve">.  </w:t>
      </w:r>
      <w:r w:rsidR="00507905" w:rsidRPr="00E0274E">
        <w:rPr>
          <w:b/>
        </w:rPr>
        <w:t>I</w:t>
      </w:r>
      <w:r w:rsidR="00D6632B" w:rsidRPr="00E0274E">
        <w:rPr>
          <w:b/>
        </w:rPr>
        <w:t>n</w:t>
      </w:r>
      <w:r w:rsidR="00B32357" w:rsidRPr="00E0274E">
        <w:rPr>
          <w:b/>
        </w:rPr>
        <w:t>deed, in</w:t>
      </w:r>
      <w:r w:rsidR="00D6632B" w:rsidRPr="00E0274E">
        <w:rPr>
          <w:b/>
        </w:rPr>
        <w:t xml:space="preserve"> the money view it is that discipline that </w:t>
      </w:r>
      <w:r w:rsidR="001D70C3">
        <w:rPr>
          <w:b/>
        </w:rPr>
        <w:t>produces</w:t>
      </w:r>
      <w:r w:rsidR="00D6632B" w:rsidRPr="00E0274E">
        <w:rPr>
          <w:b/>
        </w:rPr>
        <w:t xml:space="preserve"> whatever coherence a market economy has.</w:t>
      </w:r>
      <w:r w:rsidR="00507905">
        <w:t xml:space="preserve">  At every moment of time, the important prices that feed into individual</w:t>
      </w:r>
      <w:r w:rsidR="00B32357">
        <w:t xml:space="preserve"> economic</w:t>
      </w:r>
      <w:r w:rsidR="00507905">
        <w:t xml:space="preserve"> decisions are the prices of money: </w:t>
      </w:r>
      <w:r w:rsidR="005616BD">
        <w:t xml:space="preserve"> par and the exchange rate </w:t>
      </w:r>
      <w:r w:rsidR="00507905">
        <w:t xml:space="preserve">express the relationship between different forms of spot money, and interest rates </w:t>
      </w:r>
      <w:r w:rsidR="005616BD">
        <w:t xml:space="preserve">and asset prices </w:t>
      </w:r>
      <w:r w:rsidR="00507905">
        <w:t>express the relationship between money today and money in the future, short-term and long-term.</w:t>
      </w:r>
    </w:p>
    <w:p w:rsidR="00B32357" w:rsidRDefault="001001DE" w:rsidP="00E409BD">
      <w:pPr>
        <w:spacing w:line="360" w:lineRule="auto"/>
      </w:pPr>
      <w:r>
        <w:t>Also u</w:t>
      </w:r>
      <w:r w:rsidR="00D627A2">
        <w:t>p to this point</w:t>
      </w:r>
      <w:r w:rsidR="00632940">
        <w:t>,</w:t>
      </w:r>
      <w:r w:rsidR="00D627A2">
        <w:t xml:space="preserve"> we have</w:t>
      </w:r>
      <w:r w:rsidR="00507905">
        <w:t xml:space="preserve"> introduced the in</w:t>
      </w:r>
      <w:r w:rsidR="00D627A2">
        <w:t>stitutions of money and finance</w:t>
      </w:r>
      <w:r w:rsidR="00507905">
        <w:t xml:space="preserve"> which</w:t>
      </w:r>
      <w:r w:rsidR="00E0274E">
        <w:t xml:space="preserve"> respectively</w:t>
      </w:r>
      <w:r w:rsidR="00507905">
        <w:t xml:space="preserve"> concern settlement and valuation of promises to pay, but not yet the institution of banking, which concerns the creation of new promises, to which we now turn</w:t>
      </w:r>
      <w:r w:rsidR="00B32357">
        <w:t xml:space="preserve"> (see Graph 3)</w:t>
      </w:r>
      <w:r w:rsidR="00507905">
        <w:t>.</w:t>
      </w:r>
      <w:r w:rsidR="0056201B">
        <w:t xml:space="preserve">  We have, to be sure, pointed out in passing a certain “alchemy” of banking, but mainly to point out its potential use when</w:t>
      </w:r>
      <w:r w:rsidR="00437CE1">
        <w:t xml:space="preserve"> maturing promises come due and</w:t>
      </w:r>
      <w:r w:rsidR="0056201B">
        <w:t xml:space="preserve"> settlement constraints bind, </w:t>
      </w:r>
      <w:r w:rsidR="00437CE1">
        <w:t>specifically the case when</w:t>
      </w:r>
      <w:r w:rsidR="0056201B">
        <w:t xml:space="preserve"> deficit agents are unable to find willing surplus counterparties to help them out.  We turn attention now to </w:t>
      </w:r>
      <w:r w:rsidR="00437CE1">
        <w:t>the other end of the problem, no</w:t>
      </w:r>
      <w:r w:rsidR="00D627A2">
        <w:t xml:space="preserve"> longer </w:t>
      </w:r>
      <w:r w:rsidR="00437CE1">
        <w:t xml:space="preserve">the </w:t>
      </w:r>
      <w:r w:rsidR="00B32357">
        <w:t xml:space="preserve">settlement of </w:t>
      </w:r>
      <w:r w:rsidR="00437CE1">
        <w:t xml:space="preserve">maturing promises but </w:t>
      </w:r>
      <w:r w:rsidR="00D627A2">
        <w:t xml:space="preserve">now </w:t>
      </w:r>
      <w:r w:rsidR="00437CE1">
        <w:t>the creation of new promises</w:t>
      </w:r>
      <w:r w:rsidR="00B32357">
        <w:t xml:space="preserve"> payable at some time in the future</w:t>
      </w:r>
      <w:r w:rsidR="00437CE1">
        <w:t>.</w:t>
      </w:r>
    </w:p>
    <w:p w:rsidR="0056201B" w:rsidRPr="00B32357" w:rsidRDefault="00B32357" w:rsidP="00E409BD">
      <w:pPr>
        <w:spacing w:line="360" w:lineRule="auto"/>
        <w:jc w:val="center"/>
        <w:rPr>
          <w:b/>
        </w:rPr>
      </w:pPr>
      <w:r w:rsidRPr="00B32357">
        <w:rPr>
          <w:b/>
        </w:rPr>
        <w:t>Graph 3</w:t>
      </w:r>
    </w:p>
    <w:p w:rsidR="0056201B" w:rsidRDefault="0056201B" w:rsidP="00E409BD">
      <w:pPr>
        <w:spacing w:line="360" w:lineRule="auto"/>
      </w:pPr>
    </w:p>
    <w:p w:rsidR="00507905" w:rsidRDefault="00507905" w:rsidP="00E409BD">
      <w:pPr>
        <w:spacing w:line="360" w:lineRule="auto"/>
      </w:pPr>
      <w:r>
        <w:rPr>
          <w:noProof/>
        </w:rPr>
        <w:drawing>
          <wp:inline distT="0" distB="0" distL="0" distR="0" wp14:anchorId="213FF95F" wp14:editId="139B8C05">
            <wp:extent cx="5943600" cy="1049020"/>
            <wp:effectExtent l="0" t="0" r="0" b="0"/>
            <wp:docPr id="1026" name="Picture 2" descr="https://pbs.twimg.com/media/DOAivbbVAAA7M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pbs.twimg.com/media/DOAivbbVAAA7Mb-.jpg"/>
                    <pic:cNvPicPr>
                      <a:picLocks noGrp="1" noChangeAspect="1" noChangeArrowheads="1"/>
                    </pic:cNvPicPr>
                  </pic:nvPicPr>
                  <pic:blipFill rotWithShape="1">
                    <a:blip r:embed="rId19">
                      <a:extLst>
                        <a:ext uri="{28A0092B-C50C-407E-A947-70E740481C1C}">
                          <a14:useLocalDpi xmlns:a14="http://schemas.microsoft.com/office/drawing/2010/main" val="0"/>
                        </a:ext>
                      </a:extLst>
                    </a:blip>
                    <a:srcRect l="6070" t="21015" r="5777" b="19533"/>
                    <a:stretch/>
                  </pic:blipFill>
                  <pic:spPr bwMode="auto">
                    <a:xfrm>
                      <a:off x="0" y="0"/>
                      <a:ext cx="5943600" cy="1049020"/>
                    </a:xfrm>
                    <a:prstGeom prst="rect">
                      <a:avLst/>
                    </a:prstGeom>
                    <a:noFill/>
                    <a:extLst/>
                  </pic:spPr>
                </pic:pic>
              </a:graphicData>
            </a:graphic>
          </wp:inline>
        </w:drawing>
      </w:r>
    </w:p>
    <w:p w:rsidR="00507905" w:rsidRDefault="001001DE" w:rsidP="00E409BD">
      <w:pPr>
        <w:spacing w:line="360" w:lineRule="auto"/>
      </w:pPr>
      <w:r>
        <w:t>Source:  Eli Parra</w:t>
      </w:r>
      <w:r w:rsidR="007B6C38">
        <w:t>, depicting Mehrling (2017)</w:t>
      </w:r>
    </w:p>
    <w:p w:rsidR="009636A9" w:rsidRDefault="00437CE1" w:rsidP="00E409BD">
      <w:pPr>
        <w:spacing w:line="360" w:lineRule="auto"/>
      </w:pPr>
      <w:r>
        <w:t>In general, in the money view, we think of credit creation as a balance sheet operation, indeed as a swap of IOUs between a bank and a customer, specifically a time-dated IOU from the customer and a demand claim</w:t>
      </w:r>
      <w:r w:rsidR="007B6C38">
        <w:t xml:space="preserve"> IOU</w:t>
      </w:r>
      <w:r>
        <w:t xml:space="preserve"> from the bank</w:t>
      </w:r>
      <w:r w:rsidR="00D627A2">
        <w:t>.  The alchemical quality of such an</w:t>
      </w:r>
      <w:r>
        <w:t xml:space="preserve"> operation arises </w:t>
      </w:r>
      <w:r w:rsidR="00D627A2">
        <w:t>from the fact that</w:t>
      </w:r>
      <w:r>
        <w:t xml:space="preserve"> it cr</w:t>
      </w:r>
      <w:r w:rsidR="009C2561">
        <w:t>eates new purchasing power that</w:t>
      </w:r>
      <w:r>
        <w:t xml:space="preserve"> the customer is free to spend without having to save up before hand, and also without having to convince anyone else to give up their own prior saving.  </w:t>
      </w:r>
      <w:r w:rsidR="009636A9">
        <w:t>We call this endogenous expansion of credit “flux”.</w:t>
      </w:r>
    </w:p>
    <w:p w:rsidR="00B32357" w:rsidRDefault="00B32357" w:rsidP="00E409BD">
      <w:pPr>
        <w:spacing w:line="360" w:lineRule="auto"/>
      </w:pPr>
      <w:r>
        <w:rPr>
          <w:noProof/>
        </w:rPr>
        <mc:AlternateContent>
          <mc:Choice Requires="wps">
            <w:drawing>
              <wp:anchor distT="45720" distB="45720" distL="114300" distR="114300" simplePos="0" relativeHeight="251659264" behindDoc="0" locked="0" layoutInCell="1" allowOverlap="1">
                <wp:simplePos x="0" y="0"/>
                <wp:positionH relativeFrom="column">
                  <wp:posOffset>38100</wp:posOffset>
                </wp:positionH>
                <wp:positionV relativeFrom="paragraph">
                  <wp:posOffset>1170305</wp:posOffset>
                </wp:positionV>
                <wp:extent cx="5721350" cy="3810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810000"/>
                        </a:xfrm>
                        <a:prstGeom prst="rect">
                          <a:avLst/>
                        </a:prstGeom>
                        <a:solidFill>
                          <a:srgbClr val="FFFFFF"/>
                        </a:solidFill>
                        <a:ln w="9525">
                          <a:solidFill>
                            <a:srgbClr val="000000"/>
                          </a:solidFill>
                          <a:miter lim="800000"/>
                          <a:headEnd/>
                          <a:tailEnd/>
                        </a:ln>
                      </wps:spPr>
                      <wps:txbx>
                        <w:txbxContent>
                          <w:p w:rsidR="001D70C3" w:rsidRPr="00B32357" w:rsidRDefault="001D70C3" w:rsidP="00B32357">
                            <w:pPr>
                              <w:rPr>
                                <w:b/>
                              </w:rPr>
                            </w:pPr>
                            <w:r w:rsidRPr="00B32357">
                              <w:rPr>
                                <w:b/>
                              </w:rPr>
                              <w:t>Box 1</w:t>
                            </w:r>
                          </w:p>
                          <w:p w:rsidR="001D70C3" w:rsidRDefault="001D70C3" w:rsidP="00B32357">
                            <w:r>
                              <w:t xml:space="preserve">For as long as there has been economics, economists have worried that the forces of discipline for flux are inadequate, and so looked to devise additional purpose-built constraints to rein in the awesome power.  Why so?  Basically because flux seems to be at the heart of what Ralph Hawtrey (1932) called “the inherent instability of credit”.  In practice, flux seems inevitably to lead to </w:t>
                            </w:r>
                            <w:r w:rsidRPr="006D1886">
                              <w:rPr>
                                <w:u w:val="single"/>
                              </w:rPr>
                              <w:t>excess</w:t>
                            </w:r>
                            <w:r>
                              <w:t xml:space="preserve"> credit expansion, an unsustainable boom that inevitably leads to indiscriminate bust that takes down the worthy as well as the unworthy.  If only flux could be controlled, perhaps by channeling credit preferentially to “productive” rather than “speculative” credit?  That’s a matter of allocation in the first instance—who gets the credit?—but also a matter of aggregates—how much credit do they get?  </w:t>
                            </w:r>
                          </w:p>
                          <w:p w:rsidR="001D70C3" w:rsidRDefault="001D70C3" w:rsidP="00B32357">
                            <w:r>
                              <w:t xml:space="preserve">Toward this end, regulators of banking have sometimes put their hopes on controlling bank reserves, imagining a rigid “money multiplier” that prevents banks from expanding their balance sheet beyond a certain multiple (1/RR, where RR is the reserve requirement).  More recently they have put their hopes on controlling so-called “risk-weighted capital”, again an attempt to keep banks from expanding their balance sheet beyond a certain multiple (1/CR, where CR is the capital requirement).  But repeatedly these efforts have been frustrated, in general by shifting credit off of the balance sheets that regulators are watching and onto others that they are not.  And really, isn’t that what we should expect?  It is hardly surprising that parties who want to trade find ways to do so. </w:t>
                            </w:r>
                          </w:p>
                          <w:p w:rsidR="001D70C3" w:rsidRDefault="001D70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92.15pt;width:450.5pt;height:30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">
                <v:textbox>
                  <w:txbxContent>
                    <w:p w:rsidR="001D70C3" w:rsidRPr="00B32357" w:rsidRDefault="001D70C3" w:rsidP="00B32357">
                      <w:pPr>
                        <w:rPr>
                          <w:b/>
                        </w:rPr>
                      </w:pPr>
                      <w:r w:rsidRPr="00B32357">
                        <w:rPr>
                          <w:b/>
                        </w:rPr>
                        <w:t>Box 1</w:t>
                      </w:r>
                    </w:p>
                    <w:p w:rsidR="001D70C3" w:rsidRDefault="001D70C3" w:rsidP="00B32357">
                      <w:r>
                        <w:t xml:space="preserve">For as long as there has been economics, economists have worried that the forces of discipline for flux are inadequate, and so looked to devise additional purpose-built constraints to rein in the awesome power.  Why so?  Basically because flux seems to be at the heart of what Ralph Hawtrey (1932) called “the inherent instability of credit”.  In practice, flux seems inevitably to lead to </w:t>
                      </w:r>
                      <w:r w:rsidRPr="006D1886">
                        <w:rPr>
                          <w:u w:val="single"/>
                        </w:rPr>
                        <w:t>excess</w:t>
                      </w:r>
                      <w:r>
                        <w:t xml:space="preserve"> credit expansion, an unsustainable boom that inevitably leads to indiscriminate bust that takes down the worthy as well as the unworthy.  If only flux could be controlled, perhaps by channeling credit preferentially to “productive” rather than “speculative” credit?  That’s a matter of allocation in the first instance—who gets the credit?—but also a matter of aggregates—how much credit do they get?  </w:t>
                      </w:r>
                    </w:p>
                    <w:p w:rsidR="001D70C3" w:rsidRDefault="001D70C3" w:rsidP="00B32357">
                      <w:r>
                        <w:t xml:space="preserve">Toward this end, regulators of banking have sometimes put their hopes on controlling bank reserves, imagining a rigid “money multiplier” that prevents banks from expanding their balance sheet beyond a certain multiple (1/RR, where RR is the reserve requirement).  More recently they have put their hopes on controlling so-called “risk-weighted capital”, again an attempt to keep banks from expanding their balance sheet beyond a certain multiple (1/CR, where CR is the capital requirement).  But repeatedly these efforts have been frustrated, in general by shifting credit off of the balance sheets that regulators are watching and onto others that they are not.  And really, isn’t that what we should expect?  It is hardly surprising that parties who want to trade find ways to do so. </w:t>
                      </w:r>
                    </w:p>
                    <w:p w:rsidR="001D70C3" w:rsidRDefault="001D70C3"/>
                  </w:txbxContent>
                </v:textbox>
                <w10:wrap type="square"/>
              </v:shape>
            </w:pict>
          </mc:Fallback>
        </mc:AlternateContent>
      </w:r>
      <w:r w:rsidR="00D627A2">
        <w:t>Flux</w:t>
      </w:r>
      <w:r w:rsidR="00437CE1">
        <w:t xml:space="preserve"> is </w:t>
      </w:r>
      <w:r w:rsidR="00D40BF5">
        <w:t xml:space="preserve">apparently </w:t>
      </w:r>
      <w:r w:rsidR="00437CE1">
        <w:t>an awesome power, and it is therefore not surprising that there is considerable jockeying to get access to it.  Households want it, businesses want it, and governments want it</w:t>
      </w:r>
      <w:r w:rsidR="001001DE">
        <w:t>; access to credit is a privileged opportunity to implement your own vision of the future, and banks serve as gatekeepers</w:t>
      </w:r>
      <w:r w:rsidR="009C2561">
        <w:t xml:space="preserve"> to </w:t>
      </w:r>
      <w:r w:rsidR="005616BD">
        <w:t>tha</w:t>
      </w:r>
      <w:r w:rsidR="007B6C38">
        <w:t>t</w:t>
      </w:r>
      <w:r w:rsidR="009C2561">
        <w:t xml:space="preserve"> privilege</w:t>
      </w:r>
      <w:r w:rsidR="00D40BF5">
        <w:t xml:space="preserve">.  </w:t>
      </w:r>
      <w:r w:rsidR="001001DE">
        <w:t>W</w:t>
      </w:r>
      <w:r w:rsidR="00437CE1">
        <w:t>hat everyone else wants, the banks have, by construction in our setup</w:t>
      </w:r>
      <w:r w:rsidR="009636A9">
        <w:t xml:space="preserve"> which admittedly </w:t>
      </w:r>
      <w:r w:rsidR="001001DE">
        <w:t xml:space="preserve">puts to one side the question of whether that construction is legitimate or not.  We are not presently concerned so much with the question of who </w:t>
      </w:r>
      <w:r w:rsidR="001001DE" w:rsidRPr="00D627A2">
        <w:rPr>
          <w:u w:val="single"/>
        </w:rPr>
        <w:t>should</w:t>
      </w:r>
      <w:r w:rsidR="001001DE">
        <w:t xml:space="preserve"> get the credit but rather with a prior question, What economic forces discipline this awesome power?  Box 1 recalls some familiar ide</w:t>
      </w:r>
      <w:r w:rsidR="00F32686">
        <w:t xml:space="preserve">as about regulatory </w:t>
      </w:r>
      <w:r w:rsidR="001001DE">
        <w:t xml:space="preserve">discipline, but in the money view we take a more fundamental approach by asking first what </w:t>
      </w:r>
      <w:r w:rsidR="00F32686">
        <w:t xml:space="preserve">market </w:t>
      </w:r>
      <w:r w:rsidR="001001DE">
        <w:t>forces already exist to discipline the flux.  We call this discipline “reflux” as a way of reminding ourselves that it involves an endogenous contraction of credit.</w:t>
      </w:r>
      <w:r w:rsidR="009636A9">
        <w:t xml:space="preserve"> </w:t>
      </w:r>
    </w:p>
    <w:p w:rsidR="000339AC" w:rsidRDefault="00B32357" w:rsidP="00E409BD">
      <w:pPr>
        <w:spacing w:line="360" w:lineRule="auto"/>
      </w:pPr>
      <w:r>
        <w:t>In thinking about this</w:t>
      </w:r>
      <w:r w:rsidR="006D1886">
        <w:t xml:space="preserve"> question w</w:t>
      </w:r>
      <w:r w:rsidR="00A82384">
        <w:t>e take inspiration in part from the 19</w:t>
      </w:r>
      <w:r w:rsidR="00A82384" w:rsidRPr="00A82384">
        <w:rPr>
          <w:vertAlign w:val="superscript"/>
        </w:rPr>
        <w:t>th</w:t>
      </w:r>
      <w:r w:rsidR="00A82384">
        <w:t xml:space="preserve"> century Banking School</w:t>
      </w:r>
      <w:r w:rsidR="005616BD">
        <w:t>--</w:t>
      </w:r>
      <w:r w:rsidR="00A82384">
        <w:t xml:space="preserve">Tooke </w:t>
      </w:r>
      <w:r w:rsidR="007B6C38">
        <w:t xml:space="preserve">1844 </w:t>
      </w:r>
      <w:r w:rsidR="00A82384">
        <w:t>and Fullarton</w:t>
      </w:r>
      <w:r w:rsidR="007B6C38">
        <w:t xml:space="preserve"> 1844</w:t>
      </w:r>
      <w:r w:rsidR="00A82384">
        <w:t xml:space="preserve"> in Britain mainly but there were also Americ</w:t>
      </w:r>
      <w:r w:rsidR="006D1886">
        <w:t>ans such as Laughlin</w:t>
      </w:r>
      <w:r w:rsidR="007B6C38">
        <w:t xml:space="preserve"> 1924</w:t>
      </w:r>
      <w:r w:rsidR="006D1886">
        <w:t xml:space="preserve"> and Willis</w:t>
      </w:r>
      <w:r w:rsidR="007B6C38">
        <w:t xml:space="preserve"> 1923</w:t>
      </w:r>
      <w:r w:rsidR="005616BD">
        <w:t>--</w:t>
      </w:r>
      <w:r w:rsidR="00A82384">
        <w:t>who not only emphasized the mechanisms of reflux but also suggested that these mechanisms were sufficient to ensure that there never c</w:t>
      </w:r>
      <w:r w:rsidR="000339AC">
        <w:t>ould be excess money creation</w:t>
      </w:r>
      <w:r>
        <w:t>, from which result they drew the conclusion that there was no need for management of the money creation process</w:t>
      </w:r>
      <w:r w:rsidR="000339AC">
        <w:t xml:space="preserve">.  They overstated the </w:t>
      </w:r>
      <w:r w:rsidR="005616BD">
        <w:t>case, as we will see, and as a consequence</w:t>
      </w:r>
      <w:r w:rsidR="000339AC">
        <w:t xml:space="preserve"> brought their own version of the money view into disrepute</w:t>
      </w:r>
      <w:r w:rsidR="001370CF">
        <w:t xml:space="preserve">.  Nevertheless, </w:t>
      </w:r>
      <w:r w:rsidR="000339AC">
        <w:t>because they were money viewers, th</w:t>
      </w:r>
      <w:r w:rsidR="001370CF">
        <w:t>is</w:t>
      </w:r>
      <w:r w:rsidR="000339AC">
        <w:t xml:space="preserve"> is the place to start.</w:t>
      </w:r>
    </w:p>
    <w:p w:rsidR="006D1886" w:rsidRDefault="00A82384" w:rsidP="00E409BD">
      <w:pPr>
        <w:spacing w:line="360" w:lineRule="auto"/>
      </w:pPr>
      <w:r>
        <w:t>Mostly the</w:t>
      </w:r>
      <w:r w:rsidR="006D1886">
        <w:t>se early authors</w:t>
      </w:r>
      <w:r>
        <w:t xml:space="preserve"> were thinking of banking as a matter of discounting sh</w:t>
      </w:r>
      <w:r w:rsidR="00E0274E">
        <w:t>ort term bills of exchange that</w:t>
      </w:r>
      <w:r>
        <w:t xml:space="preserve"> financed goods on their way to final sale</w:t>
      </w:r>
      <w:r w:rsidR="001001DE">
        <w:t>, so-called “real bill</w:t>
      </w:r>
      <w:r w:rsidR="007B6C38">
        <w:t xml:space="preserve">s” which were thought </w:t>
      </w:r>
      <w:r w:rsidR="001001DE">
        <w:t>to be inherently self-liquidating</w:t>
      </w:r>
      <w:r w:rsidR="00436F9E">
        <w:t xml:space="preserve"> once the referenced goods were sold</w:t>
      </w:r>
      <w:r>
        <w:t xml:space="preserve">.  </w:t>
      </w:r>
      <w:r w:rsidR="006D1886">
        <w:t xml:space="preserve">By discounting these bills, </w:t>
      </w:r>
      <w:r>
        <w:t xml:space="preserve">in effect </w:t>
      </w:r>
      <w:r w:rsidR="00883169">
        <w:t>banks</w:t>
      </w:r>
      <w:r>
        <w:t xml:space="preserve"> monetized some fraction of business credit</w:t>
      </w:r>
      <w:r w:rsidR="00515526">
        <w:t xml:space="preserve">, </w:t>
      </w:r>
      <w:r w:rsidR="00081BF1">
        <w:t>thereby</w:t>
      </w:r>
      <w:r w:rsidR="006D1886">
        <w:t xml:space="preserve"> </w:t>
      </w:r>
      <w:r w:rsidR="00515526">
        <w:t>meeting the “needs of trade”</w:t>
      </w:r>
      <w:r w:rsidR="006D1886">
        <w:t xml:space="preserve"> </w:t>
      </w:r>
      <w:r w:rsidR="00B32357">
        <w:t>(</w:t>
      </w:r>
      <w:r w:rsidR="006D1886">
        <w:t>in the lingo of the time</w:t>
      </w:r>
      <w:r w:rsidR="00B32357">
        <w:t>)</w:t>
      </w:r>
      <w:r w:rsidR="00515526">
        <w:t xml:space="preserve">.  The important point </w:t>
      </w:r>
      <w:r w:rsidR="006D1886">
        <w:t>w</w:t>
      </w:r>
      <w:r w:rsidR="00515526">
        <w:t>as that any excess money issue</w:t>
      </w:r>
      <w:r w:rsidR="006D1886">
        <w:t xml:space="preserve"> that might be created </w:t>
      </w:r>
      <w:r w:rsidR="00081BF1">
        <w:t>in this way (flux)</w:t>
      </w:r>
      <w:r w:rsidR="00515526">
        <w:t xml:space="preserve"> could easily </w:t>
      </w:r>
      <w:r w:rsidR="003A512F">
        <w:t xml:space="preserve">and regularly </w:t>
      </w:r>
      <w:r w:rsidR="00515526">
        <w:t>flow out of the economy in repayment of maturing bills</w:t>
      </w:r>
      <w:r w:rsidR="00081BF1">
        <w:t xml:space="preserve"> (reflux)</w:t>
      </w:r>
      <w:r w:rsidR="00515526">
        <w:t>.</w:t>
      </w:r>
      <w:r w:rsidR="000339AC">
        <w:t xml:space="preserve">  </w:t>
      </w:r>
      <w:r w:rsidR="006D1886">
        <w:t>In this way, reflux was supposed to regulate flux.</w:t>
      </w:r>
    </w:p>
    <w:p w:rsidR="00515526" w:rsidRDefault="003A512F" w:rsidP="00E409BD">
      <w:pPr>
        <w:spacing w:line="360" w:lineRule="auto"/>
      </w:pPr>
      <w:r>
        <w:t>It is important</w:t>
      </w:r>
      <w:r w:rsidR="006D1886">
        <w:t xml:space="preserve"> to appreciate that this point of view arose from a</w:t>
      </w:r>
      <w:r>
        <w:t xml:space="preserve"> kind of</w:t>
      </w:r>
      <w:r w:rsidR="006D1886">
        <w:t xml:space="preserve"> money view.  </w:t>
      </w:r>
      <w:r w:rsidR="00515526">
        <w:t xml:space="preserve">Concretely, </w:t>
      </w:r>
      <w:r w:rsidR="006D1886">
        <w:t>these early authors</w:t>
      </w:r>
      <w:r w:rsidR="00515526">
        <w:t xml:space="preserve"> imagined bankers holding portfolios of short term bills maturing at various dates in the near future.  On any given date, some</w:t>
      </w:r>
      <w:r w:rsidR="007B6C38">
        <w:t xml:space="preserve"> of th</w:t>
      </w:r>
      <w:r w:rsidR="00883169">
        <w:t>e bills</w:t>
      </w:r>
      <w:r w:rsidR="00515526">
        <w:t xml:space="preserve"> would be maturing, and the result was a regular cash inflow which the bank could put to work by discounting </w:t>
      </w:r>
      <w:r w:rsidR="00883169">
        <w:t xml:space="preserve">new bills, so matching </w:t>
      </w:r>
      <w:r w:rsidR="001001DE">
        <w:t xml:space="preserve">their structural cash inflow with </w:t>
      </w:r>
      <w:r>
        <w:t xml:space="preserve">discretionary </w:t>
      </w:r>
      <w:r w:rsidR="00883169">
        <w:t xml:space="preserve">cash outflow.  </w:t>
      </w:r>
      <w:r w:rsidR="006D1886">
        <w:t>Importantly, a</w:t>
      </w:r>
      <w:r w:rsidR="00883169">
        <w:t xml:space="preserve"> bank like that might also be able to issue its own cash liabilities, notes or demand claims, relying on its ab</w:t>
      </w:r>
      <w:r w:rsidR="00081BF1">
        <w:t xml:space="preserve">ility simply to divert </w:t>
      </w:r>
      <w:r w:rsidR="00883169">
        <w:t xml:space="preserve">cash inflow </w:t>
      </w:r>
      <w:r w:rsidR="007B6C38">
        <w:t xml:space="preserve">from new discounts </w:t>
      </w:r>
      <w:r w:rsidR="00883169">
        <w:t>to redemption of its own liabiliti</w:t>
      </w:r>
      <w:r w:rsidR="00081BF1">
        <w:t>es, whenever</w:t>
      </w:r>
      <w:r w:rsidR="00883169">
        <w:t xml:space="preserve"> demanded.   </w:t>
      </w:r>
    </w:p>
    <w:p w:rsidR="001370CF" w:rsidRDefault="000339AC" w:rsidP="00E409BD">
      <w:pPr>
        <w:spacing w:line="360" w:lineRule="auto"/>
      </w:pPr>
      <w:r>
        <w:t>For modern</w:t>
      </w:r>
      <w:r w:rsidR="006D1886">
        <w:t xml:space="preserve"> money view</w:t>
      </w:r>
      <w:r>
        <w:t xml:space="preserve"> purposes, we need to extend this mode of analysis to longer term credits</w:t>
      </w:r>
      <w:r w:rsidR="003A512F">
        <w:t xml:space="preserve"> (Mehrling 2022)</w:t>
      </w:r>
      <w:r>
        <w:t xml:space="preserve">.  </w:t>
      </w:r>
      <w:r w:rsidR="00081BF1">
        <w:t>For this purpose, t</w:t>
      </w:r>
      <w:r w:rsidR="001370CF">
        <w:t xml:space="preserve">hink </w:t>
      </w:r>
      <w:r w:rsidR="006D1886">
        <w:t xml:space="preserve">of banking </w:t>
      </w:r>
      <w:r w:rsidR="001370CF">
        <w:t xml:space="preserve">not </w:t>
      </w:r>
      <w:r w:rsidR="006D1886">
        <w:t>as a matter of</w:t>
      </w:r>
      <w:r w:rsidR="001370CF">
        <w:t xml:space="preserve"> discounting a commercial bill but rather</w:t>
      </w:r>
      <w:r w:rsidR="006D1886">
        <w:t xml:space="preserve"> as a matter</w:t>
      </w:r>
      <w:r w:rsidR="001370CF">
        <w:t xml:space="preserve"> of making a mortgage loan to a household (</w:t>
      </w:r>
      <w:r w:rsidR="00081BF1">
        <w:t xml:space="preserve">to </w:t>
      </w:r>
      <w:r w:rsidR="001370CF">
        <w:t>me</w:t>
      </w:r>
      <w:r w:rsidR="00081BF1">
        <w:t>, say</w:t>
      </w:r>
      <w:r w:rsidR="001370CF">
        <w:t xml:space="preserve">), </w:t>
      </w:r>
      <w:r w:rsidR="000D01D8">
        <w:t xml:space="preserve">involving </w:t>
      </w:r>
      <w:r w:rsidR="001370CF">
        <w:t xml:space="preserve">a swap of IOUs </w:t>
      </w:r>
      <w:r w:rsidR="000D01D8">
        <w:t>wherein I use newly created money</w:t>
      </w:r>
      <w:r w:rsidR="001370CF">
        <w:t xml:space="preserve"> to purchase a home (from you</w:t>
      </w:r>
      <w:r w:rsidR="00081BF1">
        <w:t>, say</w:t>
      </w:r>
      <w:r w:rsidR="001370CF">
        <w:t>).</w:t>
      </w:r>
      <w:r w:rsidR="00081BF1">
        <w:t xml:space="preserve">  The balance sheets </w:t>
      </w:r>
      <w:r w:rsidR="003A512F">
        <w:t>in Table 5</w:t>
      </w:r>
      <w:r w:rsidR="00081BF1">
        <w:t xml:space="preserve"> show</w:t>
      </w:r>
      <w:r w:rsidR="001370CF">
        <w:t xml:space="preserve"> how this purchase is effected.  The first line is the swap of IOUs, the second the </w:t>
      </w:r>
      <w:r w:rsidR="00436F9E">
        <w:t xml:space="preserve">home </w:t>
      </w:r>
      <w:r w:rsidR="001370CF">
        <w:t xml:space="preserve">purchase, and the third the immediate funding of the mortgage in the money market as my bank (deficit at the clearing) borrows </w:t>
      </w:r>
      <w:r w:rsidR="000D01D8">
        <w:t xml:space="preserve">reserves </w:t>
      </w:r>
      <w:r w:rsidR="001370CF">
        <w:t>from your bank (surplus at the clearing).</w:t>
      </w:r>
    </w:p>
    <w:p w:rsidR="001001DE" w:rsidRDefault="001001DE" w:rsidP="00E409BD">
      <w:pPr>
        <w:spacing w:line="360" w:lineRule="auto"/>
      </w:pPr>
    </w:p>
    <w:p w:rsidR="001001DE" w:rsidRDefault="001001DE" w:rsidP="00E409BD">
      <w:pPr>
        <w:spacing w:line="360" w:lineRule="auto"/>
      </w:pPr>
    </w:p>
    <w:p w:rsidR="001370CF" w:rsidRPr="003A512F" w:rsidRDefault="003A512F" w:rsidP="00E409BD">
      <w:pPr>
        <w:spacing w:line="360" w:lineRule="auto"/>
        <w:jc w:val="center"/>
        <w:rPr>
          <w:b/>
        </w:rPr>
      </w:pPr>
      <w:r w:rsidRPr="003A512F">
        <w:rPr>
          <w:b/>
        </w:rPr>
        <w:t>Table 5</w:t>
      </w:r>
    </w:p>
    <w:p w:rsidR="001370CF" w:rsidRDefault="001370CF" w:rsidP="00E409BD">
      <w:pPr>
        <w:spacing w:line="360" w:lineRule="auto"/>
        <w:ind w:firstLine="720"/>
      </w:pPr>
      <w:r>
        <w:t>My bank</w:t>
      </w:r>
      <w:r>
        <w:tab/>
      </w:r>
      <w:r>
        <w:tab/>
      </w:r>
      <w:r>
        <w:tab/>
        <w:t>Me</w:t>
      </w:r>
      <w:r>
        <w:tab/>
      </w:r>
      <w:r>
        <w:tab/>
      </w:r>
      <w:r>
        <w:tab/>
        <w:t>You</w:t>
      </w:r>
      <w:r>
        <w:tab/>
      </w:r>
      <w:r>
        <w:tab/>
      </w:r>
      <w:r>
        <w:tab/>
        <w:t>Your Bank</w:t>
      </w:r>
    </w:p>
    <w:tbl>
      <w:tblPr>
        <w:tblStyle w:val="Grilledutableau"/>
        <w:tblW w:w="0" w:type="auto"/>
        <w:tblLook w:val="04A0" w:firstRow="1" w:lastRow="0" w:firstColumn="1" w:lastColumn="0" w:noHBand="0" w:noVBand="1"/>
      </w:tblPr>
      <w:tblGrid>
        <w:gridCol w:w="1190"/>
        <w:gridCol w:w="1249"/>
        <w:gridCol w:w="1172"/>
        <w:gridCol w:w="1253"/>
        <w:gridCol w:w="1172"/>
        <w:gridCol w:w="1247"/>
        <w:gridCol w:w="1015"/>
        <w:gridCol w:w="1052"/>
      </w:tblGrid>
      <w:tr w:rsidR="001370CF" w:rsidTr="001370CF">
        <w:tc>
          <w:tcPr>
            <w:tcW w:w="1181" w:type="dxa"/>
          </w:tcPr>
          <w:p w:rsidR="001370CF" w:rsidRDefault="001370CF" w:rsidP="00E409BD">
            <w:pPr>
              <w:spacing w:line="360" w:lineRule="auto"/>
            </w:pPr>
            <w:r>
              <w:t>Assets</w:t>
            </w:r>
          </w:p>
        </w:tc>
        <w:tc>
          <w:tcPr>
            <w:tcW w:w="1255" w:type="dxa"/>
          </w:tcPr>
          <w:p w:rsidR="001370CF" w:rsidRDefault="001370CF" w:rsidP="00E409BD">
            <w:pPr>
              <w:spacing w:line="360" w:lineRule="auto"/>
            </w:pPr>
            <w:r>
              <w:t>Liabilities</w:t>
            </w:r>
          </w:p>
        </w:tc>
        <w:tc>
          <w:tcPr>
            <w:tcW w:w="1180" w:type="dxa"/>
          </w:tcPr>
          <w:p w:rsidR="001370CF" w:rsidRDefault="001370CF" w:rsidP="00E409BD">
            <w:pPr>
              <w:spacing w:line="360" w:lineRule="auto"/>
            </w:pPr>
            <w:r>
              <w:t>Assets</w:t>
            </w:r>
          </w:p>
        </w:tc>
        <w:tc>
          <w:tcPr>
            <w:tcW w:w="1256" w:type="dxa"/>
          </w:tcPr>
          <w:p w:rsidR="001370CF" w:rsidRDefault="001370CF" w:rsidP="00E409BD">
            <w:pPr>
              <w:spacing w:line="360" w:lineRule="auto"/>
            </w:pPr>
            <w:r>
              <w:t>Liabilities</w:t>
            </w:r>
          </w:p>
        </w:tc>
        <w:tc>
          <w:tcPr>
            <w:tcW w:w="1180" w:type="dxa"/>
          </w:tcPr>
          <w:p w:rsidR="001370CF" w:rsidRDefault="001370CF" w:rsidP="00E409BD">
            <w:pPr>
              <w:spacing w:line="360" w:lineRule="auto"/>
            </w:pPr>
            <w:r>
              <w:t>Assets</w:t>
            </w:r>
          </w:p>
        </w:tc>
        <w:tc>
          <w:tcPr>
            <w:tcW w:w="1256" w:type="dxa"/>
          </w:tcPr>
          <w:p w:rsidR="001370CF" w:rsidRDefault="001370CF" w:rsidP="00E409BD">
            <w:pPr>
              <w:spacing w:line="360" w:lineRule="auto"/>
            </w:pPr>
            <w:r>
              <w:t>Liabilities</w:t>
            </w:r>
          </w:p>
        </w:tc>
        <w:tc>
          <w:tcPr>
            <w:tcW w:w="1021" w:type="dxa"/>
          </w:tcPr>
          <w:p w:rsidR="001370CF" w:rsidRDefault="001370CF" w:rsidP="00E409BD">
            <w:pPr>
              <w:spacing w:line="360" w:lineRule="auto"/>
            </w:pPr>
            <w:r>
              <w:t>Assets</w:t>
            </w:r>
          </w:p>
        </w:tc>
        <w:tc>
          <w:tcPr>
            <w:tcW w:w="1021" w:type="dxa"/>
          </w:tcPr>
          <w:p w:rsidR="001370CF" w:rsidRDefault="001370CF" w:rsidP="00E409BD">
            <w:pPr>
              <w:spacing w:line="360" w:lineRule="auto"/>
            </w:pPr>
            <w:r>
              <w:t>Liabilities</w:t>
            </w:r>
          </w:p>
        </w:tc>
      </w:tr>
      <w:tr w:rsidR="001370CF" w:rsidTr="001370CF">
        <w:tc>
          <w:tcPr>
            <w:tcW w:w="1181" w:type="dxa"/>
          </w:tcPr>
          <w:p w:rsidR="001370CF" w:rsidRDefault="001370CF" w:rsidP="00E409BD">
            <w:pPr>
              <w:spacing w:line="360" w:lineRule="auto"/>
            </w:pPr>
            <w:r>
              <w:t>+mortgage</w:t>
            </w:r>
          </w:p>
        </w:tc>
        <w:tc>
          <w:tcPr>
            <w:tcW w:w="1255" w:type="dxa"/>
          </w:tcPr>
          <w:p w:rsidR="001370CF" w:rsidRDefault="001370CF" w:rsidP="00E409BD">
            <w:pPr>
              <w:spacing w:line="360" w:lineRule="auto"/>
            </w:pPr>
            <w:r>
              <w:t>+deposit</w:t>
            </w:r>
          </w:p>
        </w:tc>
        <w:tc>
          <w:tcPr>
            <w:tcW w:w="1180" w:type="dxa"/>
          </w:tcPr>
          <w:p w:rsidR="001370CF" w:rsidRDefault="001370CF" w:rsidP="00E409BD">
            <w:pPr>
              <w:spacing w:line="360" w:lineRule="auto"/>
            </w:pPr>
            <w:r>
              <w:t>+deposit</w:t>
            </w:r>
          </w:p>
        </w:tc>
        <w:tc>
          <w:tcPr>
            <w:tcW w:w="1256" w:type="dxa"/>
          </w:tcPr>
          <w:p w:rsidR="001370CF" w:rsidRDefault="001370CF" w:rsidP="00E409BD">
            <w:pPr>
              <w:spacing w:line="360" w:lineRule="auto"/>
            </w:pPr>
            <w:r>
              <w:t>+mortgage</w:t>
            </w:r>
          </w:p>
        </w:tc>
        <w:tc>
          <w:tcPr>
            <w:tcW w:w="1180" w:type="dxa"/>
          </w:tcPr>
          <w:p w:rsidR="001370CF" w:rsidRDefault="001370CF" w:rsidP="00E409BD">
            <w:pPr>
              <w:spacing w:line="360" w:lineRule="auto"/>
            </w:pPr>
          </w:p>
        </w:tc>
        <w:tc>
          <w:tcPr>
            <w:tcW w:w="1256" w:type="dxa"/>
          </w:tcPr>
          <w:p w:rsidR="001370CF" w:rsidRDefault="001370CF" w:rsidP="00E409BD">
            <w:pPr>
              <w:spacing w:line="360" w:lineRule="auto"/>
            </w:pPr>
          </w:p>
        </w:tc>
        <w:tc>
          <w:tcPr>
            <w:tcW w:w="1021" w:type="dxa"/>
          </w:tcPr>
          <w:p w:rsidR="001370CF" w:rsidRDefault="001370CF" w:rsidP="00E409BD">
            <w:pPr>
              <w:spacing w:line="360" w:lineRule="auto"/>
            </w:pPr>
          </w:p>
        </w:tc>
        <w:tc>
          <w:tcPr>
            <w:tcW w:w="1021" w:type="dxa"/>
          </w:tcPr>
          <w:p w:rsidR="001370CF" w:rsidRDefault="001370CF" w:rsidP="00E409BD">
            <w:pPr>
              <w:spacing w:line="360" w:lineRule="auto"/>
            </w:pPr>
          </w:p>
        </w:tc>
      </w:tr>
      <w:tr w:rsidR="001370CF" w:rsidTr="001370CF">
        <w:tc>
          <w:tcPr>
            <w:tcW w:w="1181" w:type="dxa"/>
          </w:tcPr>
          <w:p w:rsidR="001370CF" w:rsidRDefault="001370CF" w:rsidP="00E409BD">
            <w:pPr>
              <w:spacing w:line="360" w:lineRule="auto"/>
            </w:pPr>
          </w:p>
        </w:tc>
        <w:tc>
          <w:tcPr>
            <w:tcW w:w="1255" w:type="dxa"/>
          </w:tcPr>
          <w:p w:rsidR="001370CF" w:rsidRDefault="001370CF" w:rsidP="00E409BD">
            <w:pPr>
              <w:spacing w:line="360" w:lineRule="auto"/>
            </w:pPr>
          </w:p>
        </w:tc>
        <w:tc>
          <w:tcPr>
            <w:tcW w:w="1180" w:type="dxa"/>
          </w:tcPr>
          <w:p w:rsidR="001370CF" w:rsidRDefault="001370CF" w:rsidP="00E409BD">
            <w:pPr>
              <w:spacing w:line="360" w:lineRule="auto"/>
            </w:pPr>
            <w:r>
              <w:t>-deposit</w:t>
            </w:r>
          </w:p>
          <w:p w:rsidR="001370CF" w:rsidRDefault="001370CF" w:rsidP="00E409BD">
            <w:pPr>
              <w:spacing w:line="360" w:lineRule="auto"/>
            </w:pPr>
            <w:r>
              <w:t>+house</w:t>
            </w:r>
          </w:p>
        </w:tc>
        <w:tc>
          <w:tcPr>
            <w:tcW w:w="1256" w:type="dxa"/>
          </w:tcPr>
          <w:p w:rsidR="001370CF" w:rsidRDefault="001370CF" w:rsidP="00E409BD">
            <w:pPr>
              <w:spacing w:line="360" w:lineRule="auto"/>
            </w:pPr>
          </w:p>
        </w:tc>
        <w:tc>
          <w:tcPr>
            <w:tcW w:w="1180" w:type="dxa"/>
          </w:tcPr>
          <w:p w:rsidR="001370CF" w:rsidRDefault="001370CF" w:rsidP="00E409BD">
            <w:pPr>
              <w:spacing w:line="360" w:lineRule="auto"/>
            </w:pPr>
            <w:r>
              <w:t>+deposit</w:t>
            </w:r>
          </w:p>
          <w:p w:rsidR="001370CF" w:rsidRDefault="001370CF" w:rsidP="00E409BD">
            <w:pPr>
              <w:spacing w:line="360" w:lineRule="auto"/>
            </w:pPr>
            <w:r>
              <w:t>-house</w:t>
            </w:r>
          </w:p>
        </w:tc>
        <w:tc>
          <w:tcPr>
            <w:tcW w:w="1256" w:type="dxa"/>
          </w:tcPr>
          <w:p w:rsidR="001370CF" w:rsidRDefault="001370CF" w:rsidP="00E409BD">
            <w:pPr>
              <w:spacing w:line="360" w:lineRule="auto"/>
            </w:pPr>
          </w:p>
        </w:tc>
        <w:tc>
          <w:tcPr>
            <w:tcW w:w="1021" w:type="dxa"/>
          </w:tcPr>
          <w:p w:rsidR="001370CF" w:rsidRDefault="001370CF" w:rsidP="00E409BD">
            <w:pPr>
              <w:spacing w:line="360" w:lineRule="auto"/>
            </w:pPr>
          </w:p>
        </w:tc>
        <w:tc>
          <w:tcPr>
            <w:tcW w:w="1021" w:type="dxa"/>
          </w:tcPr>
          <w:p w:rsidR="001370CF" w:rsidRDefault="001370CF" w:rsidP="00E409BD">
            <w:pPr>
              <w:spacing w:line="360" w:lineRule="auto"/>
            </w:pPr>
          </w:p>
        </w:tc>
      </w:tr>
      <w:tr w:rsidR="001370CF" w:rsidTr="001370CF">
        <w:tc>
          <w:tcPr>
            <w:tcW w:w="1181" w:type="dxa"/>
          </w:tcPr>
          <w:p w:rsidR="001370CF" w:rsidRDefault="001370CF" w:rsidP="00E409BD">
            <w:pPr>
              <w:spacing w:line="360" w:lineRule="auto"/>
            </w:pPr>
          </w:p>
        </w:tc>
        <w:tc>
          <w:tcPr>
            <w:tcW w:w="1255" w:type="dxa"/>
          </w:tcPr>
          <w:p w:rsidR="001370CF" w:rsidRDefault="001370CF" w:rsidP="00E409BD">
            <w:pPr>
              <w:spacing w:line="360" w:lineRule="auto"/>
            </w:pPr>
            <w:r>
              <w:t>-deposit</w:t>
            </w:r>
          </w:p>
          <w:p w:rsidR="001370CF" w:rsidRDefault="001370CF" w:rsidP="00E409BD">
            <w:pPr>
              <w:spacing w:line="360" w:lineRule="auto"/>
            </w:pPr>
            <w:r>
              <w:t>+MM borrowing</w:t>
            </w:r>
          </w:p>
        </w:tc>
        <w:tc>
          <w:tcPr>
            <w:tcW w:w="1180" w:type="dxa"/>
          </w:tcPr>
          <w:p w:rsidR="001370CF" w:rsidRDefault="001370CF" w:rsidP="00E409BD">
            <w:pPr>
              <w:spacing w:line="360" w:lineRule="auto"/>
            </w:pPr>
          </w:p>
        </w:tc>
        <w:tc>
          <w:tcPr>
            <w:tcW w:w="1256" w:type="dxa"/>
          </w:tcPr>
          <w:p w:rsidR="001370CF" w:rsidRDefault="001370CF" w:rsidP="00E409BD">
            <w:pPr>
              <w:spacing w:line="360" w:lineRule="auto"/>
            </w:pPr>
          </w:p>
        </w:tc>
        <w:tc>
          <w:tcPr>
            <w:tcW w:w="1180" w:type="dxa"/>
          </w:tcPr>
          <w:p w:rsidR="001370CF" w:rsidRDefault="001370CF" w:rsidP="00E409BD">
            <w:pPr>
              <w:spacing w:line="360" w:lineRule="auto"/>
            </w:pPr>
          </w:p>
        </w:tc>
        <w:tc>
          <w:tcPr>
            <w:tcW w:w="1256" w:type="dxa"/>
          </w:tcPr>
          <w:p w:rsidR="001370CF" w:rsidRDefault="001370CF" w:rsidP="00E409BD">
            <w:pPr>
              <w:spacing w:line="360" w:lineRule="auto"/>
            </w:pPr>
          </w:p>
        </w:tc>
        <w:tc>
          <w:tcPr>
            <w:tcW w:w="1021" w:type="dxa"/>
          </w:tcPr>
          <w:p w:rsidR="001370CF" w:rsidRDefault="001370CF" w:rsidP="00E409BD">
            <w:pPr>
              <w:spacing w:line="360" w:lineRule="auto"/>
            </w:pPr>
            <w:r>
              <w:t>+MM lending</w:t>
            </w:r>
          </w:p>
        </w:tc>
        <w:tc>
          <w:tcPr>
            <w:tcW w:w="1021" w:type="dxa"/>
          </w:tcPr>
          <w:p w:rsidR="001370CF" w:rsidRDefault="001370CF" w:rsidP="00E409BD">
            <w:pPr>
              <w:spacing w:line="360" w:lineRule="auto"/>
            </w:pPr>
            <w:r>
              <w:t>+deposit</w:t>
            </w:r>
          </w:p>
        </w:tc>
      </w:tr>
    </w:tbl>
    <w:p w:rsidR="001370CF" w:rsidRDefault="001370CF" w:rsidP="00E409BD">
      <w:pPr>
        <w:spacing w:line="360" w:lineRule="auto"/>
      </w:pPr>
    </w:p>
    <w:p w:rsidR="000339AC" w:rsidRDefault="003A512F" w:rsidP="00E409BD">
      <w:pPr>
        <w:spacing w:line="360" w:lineRule="auto"/>
      </w:pPr>
      <w:r>
        <w:t>Note tha</w:t>
      </w:r>
      <w:r w:rsidR="001001DE">
        <w:t>t</w:t>
      </w:r>
      <w:r>
        <w:t xml:space="preserve"> it</w:t>
      </w:r>
      <w:r w:rsidR="001370CF">
        <w:t xml:space="preserve"> is new money </w:t>
      </w:r>
      <w:r>
        <w:t xml:space="preserve">(flux) </w:t>
      </w:r>
      <w:r w:rsidR="001370CF">
        <w:t>that has enabled the transfer of the house from you to me, and the source of that new money is your willingness to hold your</w:t>
      </w:r>
      <w:r w:rsidR="000D01D8">
        <w:t xml:space="preserve"> own</w:t>
      </w:r>
      <w:r w:rsidR="001370CF">
        <w:t xml:space="preserve"> bank’s liability, and </w:t>
      </w:r>
      <w:r w:rsidR="000D01D8">
        <w:t xml:space="preserve">also </w:t>
      </w:r>
      <w:r w:rsidR="001370CF">
        <w:t>your bank’s willingness to hold my</w:t>
      </w:r>
      <w:r>
        <w:t xml:space="preserve"> own</w:t>
      </w:r>
      <w:r w:rsidR="001370CF">
        <w:t xml:space="preserve"> bank’s liability.  Neither of these </w:t>
      </w:r>
      <w:r w:rsidR="00081BF1">
        <w:t xml:space="preserve">sources </w:t>
      </w:r>
      <w:r w:rsidR="001370CF">
        <w:t xml:space="preserve">however is to be depended </w:t>
      </w:r>
      <w:r w:rsidR="00081BF1">
        <w:t xml:space="preserve">upon </w:t>
      </w:r>
      <w:r w:rsidR="001370CF">
        <w:t>for the permanent funding of</w:t>
      </w:r>
      <w:r w:rsidR="001001DE">
        <w:t xml:space="preserve"> a 30-</w:t>
      </w:r>
      <w:r w:rsidR="000D01D8">
        <w:t>year mortgage</w:t>
      </w:r>
      <w:r w:rsidR="00A51380">
        <w:t xml:space="preserve">.  The question of reflux </w:t>
      </w:r>
      <w:r w:rsidR="000D01D8">
        <w:t xml:space="preserve">in this setup </w:t>
      </w:r>
      <w:r w:rsidR="00A51380">
        <w:t xml:space="preserve">is </w:t>
      </w:r>
      <w:r w:rsidR="00081BF1">
        <w:t xml:space="preserve">therefore </w:t>
      </w:r>
      <w:r w:rsidR="00A51380">
        <w:t xml:space="preserve">a question of what mechanisms exist for extinguishing the new money should it prove to be more than </w:t>
      </w:r>
      <w:r w:rsidR="00081BF1">
        <w:t xml:space="preserve">is </w:t>
      </w:r>
      <w:r w:rsidR="00A51380">
        <w:t xml:space="preserve">demanded.  </w:t>
      </w:r>
    </w:p>
    <w:p w:rsidR="00A51380" w:rsidRDefault="00A51380" w:rsidP="00E409BD">
      <w:pPr>
        <w:spacing w:line="360" w:lineRule="auto"/>
      </w:pPr>
      <w:r>
        <w:t xml:space="preserve">Logically, there are three.  First, you might use the money </w:t>
      </w:r>
      <w:r w:rsidR="001001DE">
        <w:t xml:space="preserve">you received </w:t>
      </w:r>
      <w:r>
        <w:t xml:space="preserve">to pay back </w:t>
      </w:r>
      <w:r w:rsidR="005616BD">
        <w:t xml:space="preserve">your own </w:t>
      </w:r>
      <w:r>
        <w:t xml:space="preserve">loans, or </w:t>
      </w:r>
      <w:r w:rsidR="001001DE">
        <w:t xml:space="preserve">you might </w:t>
      </w:r>
      <w:r>
        <w:t xml:space="preserve">transfer it to other people who pay back their own loans, so that at the end of the day </w:t>
      </w:r>
      <w:r w:rsidR="00081BF1">
        <w:t xml:space="preserve">total outstanding </w:t>
      </w:r>
      <w:r>
        <w:t xml:space="preserve">credit and </w:t>
      </w:r>
      <w:r w:rsidR="00081BF1">
        <w:t xml:space="preserve">outstanding </w:t>
      </w:r>
      <w:r>
        <w:t xml:space="preserve">money are back where they were.  This is </w:t>
      </w:r>
      <w:r w:rsidR="000D01D8">
        <w:t>recognizably</w:t>
      </w:r>
      <w:r w:rsidR="007B6C38">
        <w:t xml:space="preserve"> a version of</w:t>
      </w:r>
      <w:r w:rsidR="000D01D8">
        <w:t xml:space="preserve"> </w:t>
      </w:r>
      <w:r>
        <w:t>the mechanism emphasized by the original Banking School</w:t>
      </w:r>
      <w:r w:rsidR="000D01D8">
        <w:t xml:space="preserve"> a</w:t>
      </w:r>
      <w:r w:rsidR="00081BF1">
        <w:t>s</w:t>
      </w:r>
      <w:r w:rsidR="000D01D8">
        <w:t xml:space="preserve"> discussed above</w:t>
      </w:r>
      <w:r>
        <w:t>.  Second</w:t>
      </w:r>
      <w:r w:rsidR="00E0274E">
        <w:t>, the increased money supply might</w:t>
      </w:r>
      <w:r>
        <w:t xml:space="preserve"> </w:t>
      </w:r>
      <w:r w:rsidR="000D01D8">
        <w:t>stimulate</w:t>
      </w:r>
      <w:r>
        <w:t xml:space="preserve"> spending and income sufficient</w:t>
      </w:r>
      <w:r w:rsidR="000D01D8">
        <w:t>ly</w:t>
      </w:r>
      <w:r>
        <w:t xml:space="preserve"> to rais</w:t>
      </w:r>
      <w:r w:rsidR="000D01D8">
        <w:t>e</w:t>
      </w:r>
      <w:r>
        <w:t xml:space="preserve"> money demand to equal the new money supply.  This is the mechanism emphasized by traditional Keynesian</w:t>
      </w:r>
      <w:r w:rsidR="00E0274E">
        <w:t xml:space="preserve"> macroeconomics</w:t>
      </w:r>
      <w:r w:rsidR="007B6C38">
        <w:t>, about which we will have more to say in a later chapter</w:t>
      </w:r>
      <w:r w:rsidR="00E0274E">
        <w:t>.  Third, you might</w:t>
      </w:r>
      <w:r>
        <w:t xml:space="preserve"> use the new money to purchase</w:t>
      </w:r>
      <w:r w:rsidR="00081BF1">
        <w:t xml:space="preserve"> (for example)</w:t>
      </w:r>
      <w:r>
        <w:t xml:space="preserve"> an annuity that is funded </w:t>
      </w:r>
      <w:r w:rsidR="00081BF1">
        <w:t xml:space="preserve">(say) </w:t>
      </w:r>
      <w:r>
        <w:t>by a mortgage loan purchased by an insurance company</w:t>
      </w:r>
      <w:r w:rsidR="000D01D8">
        <w:t xml:space="preserve"> from the bank</w:t>
      </w:r>
      <w:r>
        <w:t xml:space="preserve">.  In this way, the new money is extinguished but the new credit remains, albeit no longer on the balance sheet of the banking system narrowly conceived.  </w:t>
      </w:r>
    </w:p>
    <w:p w:rsidR="003A512F" w:rsidRDefault="003A512F" w:rsidP="00E409BD">
      <w:pPr>
        <w:spacing w:line="360" w:lineRule="auto"/>
      </w:pPr>
      <w:r>
        <w:t>Under modern conditions it is this third mechanism of reflux that is</w:t>
      </w:r>
      <w:r w:rsidR="001001DE">
        <w:t xml:space="preserve"> the</w:t>
      </w:r>
      <w:r>
        <w:t xml:space="preserve"> most relevant, and so worth spelling out in greater detail as in Table 6.  The first line shows your purchase of the annuity, while the second shows transfer of your deposit to the bank of the Insurance Company (assumed to be the same as My Bank).  The third line then shows the Insurance Company purchasing the mortgage asset from the bank, and it is here that we see the reflux, the contraction of money</w:t>
      </w:r>
      <w:r w:rsidR="00E405BF">
        <w:t xml:space="preserve"> outstanding.  In this example, reflux comes about because wealthholders prefer to hold their wealth in the form of an annuity, not money, b</w:t>
      </w:r>
      <w:r w:rsidR="001001DE">
        <w:t xml:space="preserve">ut the point is more general.  </w:t>
      </w:r>
      <w:r w:rsidR="00E405BF">
        <w:t>We could equally well imagine that wealthholders shift their deposits to a money market</w:t>
      </w:r>
      <w:r w:rsidR="007B6C38">
        <w:t xml:space="preserve"> mutual</w:t>
      </w:r>
      <w:r w:rsidR="00E405BF">
        <w:t xml:space="preserve"> fund which uses them to acquire asset-backed commercial paper issued by a special purpose vehicle as funding for its holding of mortgage-backed securities</w:t>
      </w:r>
      <w:r w:rsidR="001001DE">
        <w:t>, i.e. money market funding of capital market lending</w:t>
      </w:r>
      <w:r w:rsidR="00E405BF">
        <w:t>.  That’s also reflux, in the sense that the deposit that initially funded the mortgage disappear</w:t>
      </w:r>
      <w:r w:rsidR="001001DE">
        <w:t>s</w:t>
      </w:r>
      <w:r w:rsidR="00E405BF">
        <w:t xml:space="preserve">, albeit in this case </w:t>
      </w:r>
      <w:r w:rsidR="001001DE">
        <w:t>it is replaced by MMMF shares, a close money substitute.</w:t>
      </w:r>
    </w:p>
    <w:p w:rsidR="00E0274E" w:rsidRDefault="00E0274E" w:rsidP="00E409BD">
      <w:pPr>
        <w:spacing w:line="360" w:lineRule="auto"/>
      </w:pPr>
    </w:p>
    <w:p w:rsidR="003A512F" w:rsidRPr="003A512F" w:rsidRDefault="003A512F" w:rsidP="00E409BD">
      <w:pPr>
        <w:spacing w:line="360" w:lineRule="auto"/>
        <w:jc w:val="center"/>
        <w:rPr>
          <w:b/>
        </w:rPr>
      </w:pPr>
      <w:r w:rsidRPr="003A512F">
        <w:rPr>
          <w:b/>
        </w:rPr>
        <w:t>Table 6</w:t>
      </w:r>
    </w:p>
    <w:p w:rsidR="003A512F" w:rsidRDefault="003A512F" w:rsidP="00E409BD">
      <w:pPr>
        <w:spacing w:line="360" w:lineRule="auto"/>
        <w:ind w:firstLine="720"/>
      </w:pPr>
      <w:r>
        <w:t xml:space="preserve">My bank  </w:t>
      </w:r>
      <w:r>
        <w:tab/>
      </w:r>
      <w:r>
        <w:tab/>
        <w:t>Insurance Company</w:t>
      </w:r>
      <w:r>
        <w:tab/>
      </w:r>
      <w:r>
        <w:tab/>
        <w:t>You</w:t>
      </w:r>
      <w:r>
        <w:tab/>
      </w:r>
      <w:r>
        <w:tab/>
      </w:r>
      <w:r>
        <w:tab/>
        <w:t>Your bank</w:t>
      </w:r>
    </w:p>
    <w:tbl>
      <w:tblPr>
        <w:tblStyle w:val="Grilledutableau"/>
        <w:tblW w:w="0" w:type="auto"/>
        <w:tblLook w:val="04A0" w:firstRow="1" w:lastRow="0" w:firstColumn="1" w:lastColumn="0" w:noHBand="0" w:noVBand="1"/>
      </w:tblPr>
      <w:tblGrid>
        <w:gridCol w:w="1165"/>
        <w:gridCol w:w="1165"/>
        <w:gridCol w:w="1190"/>
        <w:gridCol w:w="1167"/>
        <w:gridCol w:w="1166"/>
        <w:gridCol w:w="1167"/>
        <w:gridCol w:w="1163"/>
        <w:gridCol w:w="1167"/>
      </w:tblGrid>
      <w:tr w:rsidR="003A512F" w:rsidTr="003A512F">
        <w:tc>
          <w:tcPr>
            <w:tcW w:w="1168" w:type="dxa"/>
          </w:tcPr>
          <w:p w:rsidR="003A512F" w:rsidRDefault="003A512F" w:rsidP="00E409BD">
            <w:pPr>
              <w:spacing w:line="360" w:lineRule="auto"/>
            </w:pPr>
            <w:r>
              <w:t>Assets</w:t>
            </w:r>
          </w:p>
        </w:tc>
        <w:tc>
          <w:tcPr>
            <w:tcW w:w="1168" w:type="dxa"/>
          </w:tcPr>
          <w:p w:rsidR="003A512F" w:rsidRDefault="003A512F" w:rsidP="00E409BD">
            <w:pPr>
              <w:spacing w:line="360" w:lineRule="auto"/>
            </w:pPr>
            <w:r>
              <w:t>Liabilities</w:t>
            </w:r>
          </w:p>
        </w:tc>
        <w:tc>
          <w:tcPr>
            <w:tcW w:w="1169" w:type="dxa"/>
          </w:tcPr>
          <w:p w:rsidR="003A512F" w:rsidRDefault="003A512F" w:rsidP="00E409BD">
            <w:pPr>
              <w:spacing w:line="360" w:lineRule="auto"/>
            </w:pPr>
            <w:r>
              <w:t>Assets</w:t>
            </w:r>
          </w:p>
        </w:tc>
        <w:tc>
          <w:tcPr>
            <w:tcW w:w="1169" w:type="dxa"/>
          </w:tcPr>
          <w:p w:rsidR="003A512F" w:rsidRDefault="003A512F" w:rsidP="00E409BD">
            <w:pPr>
              <w:spacing w:line="360" w:lineRule="auto"/>
            </w:pPr>
            <w:r>
              <w:t>Liabilities</w:t>
            </w:r>
          </w:p>
        </w:tc>
        <w:tc>
          <w:tcPr>
            <w:tcW w:w="1169" w:type="dxa"/>
          </w:tcPr>
          <w:p w:rsidR="003A512F" w:rsidRDefault="003A512F" w:rsidP="00E409BD">
            <w:pPr>
              <w:spacing w:line="360" w:lineRule="auto"/>
            </w:pPr>
            <w:r>
              <w:t>Assets</w:t>
            </w:r>
          </w:p>
        </w:tc>
        <w:tc>
          <w:tcPr>
            <w:tcW w:w="1169" w:type="dxa"/>
          </w:tcPr>
          <w:p w:rsidR="003A512F" w:rsidRDefault="003A512F" w:rsidP="00E409BD">
            <w:pPr>
              <w:spacing w:line="360" w:lineRule="auto"/>
            </w:pPr>
            <w:r>
              <w:t>Liabilities</w:t>
            </w:r>
          </w:p>
        </w:tc>
        <w:tc>
          <w:tcPr>
            <w:tcW w:w="1169" w:type="dxa"/>
          </w:tcPr>
          <w:p w:rsidR="003A512F" w:rsidRDefault="003A512F" w:rsidP="00E409BD">
            <w:pPr>
              <w:spacing w:line="360" w:lineRule="auto"/>
            </w:pPr>
            <w:r>
              <w:t>Assets</w:t>
            </w:r>
          </w:p>
        </w:tc>
        <w:tc>
          <w:tcPr>
            <w:tcW w:w="1169" w:type="dxa"/>
          </w:tcPr>
          <w:p w:rsidR="003A512F" w:rsidRDefault="003A512F" w:rsidP="00E409BD">
            <w:pPr>
              <w:spacing w:line="360" w:lineRule="auto"/>
            </w:pPr>
            <w:r>
              <w:t>Liabilities</w:t>
            </w:r>
          </w:p>
        </w:tc>
      </w:tr>
      <w:tr w:rsidR="003A512F" w:rsidTr="003A512F">
        <w:tc>
          <w:tcPr>
            <w:tcW w:w="1168" w:type="dxa"/>
          </w:tcPr>
          <w:p w:rsidR="003A512F" w:rsidRDefault="003A512F" w:rsidP="00E409BD">
            <w:pPr>
              <w:spacing w:line="360" w:lineRule="auto"/>
            </w:pPr>
          </w:p>
        </w:tc>
        <w:tc>
          <w:tcPr>
            <w:tcW w:w="1168" w:type="dxa"/>
          </w:tcPr>
          <w:p w:rsidR="003A512F" w:rsidRDefault="003A512F" w:rsidP="00E409BD">
            <w:pPr>
              <w:spacing w:line="360" w:lineRule="auto"/>
            </w:pPr>
          </w:p>
        </w:tc>
        <w:tc>
          <w:tcPr>
            <w:tcW w:w="1169" w:type="dxa"/>
          </w:tcPr>
          <w:p w:rsidR="003A512F" w:rsidRDefault="003A512F" w:rsidP="00E409BD">
            <w:pPr>
              <w:spacing w:line="360" w:lineRule="auto"/>
            </w:pPr>
            <w:r>
              <w:t>+deposit</w:t>
            </w:r>
          </w:p>
        </w:tc>
        <w:tc>
          <w:tcPr>
            <w:tcW w:w="1169" w:type="dxa"/>
          </w:tcPr>
          <w:p w:rsidR="003A512F" w:rsidRDefault="003A512F" w:rsidP="00E409BD">
            <w:pPr>
              <w:spacing w:line="360" w:lineRule="auto"/>
            </w:pPr>
            <w:r>
              <w:t>+annuity</w:t>
            </w:r>
          </w:p>
        </w:tc>
        <w:tc>
          <w:tcPr>
            <w:tcW w:w="1169" w:type="dxa"/>
          </w:tcPr>
          <w:p w:rsidR="003A512F" w:rsidRDefault="003A512F" w:rsidP="00E409BD">
            <w:pPr>
              <w:spacing w:line="360" w:lineRule="auto"/>
            </w:pPr>
            <w:r>
              <w:t>-deposit</w:t>
            </w:r>
          </w:p>
          <w:p w:rsidR="003A512F" w:rsidRDefault="003A512F" w:rsidP="00E409BD">
            <w:pPr>
              <w:spacing w:line="360" w:lineRule="auto"/>
            </w:pPr>
            <w:r>
              <w:t>+annuity</w:t>
            </w: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r>
      <w:tr w:rsidR="003A512F" w:rsidTr="003A512F">
        <w:tc>
          <w:tcPr>
            <w:tcW w:w="1168" w:type="dxa"/>
          </w:tcPr>
          <w:p w:rsidR="003A512F" w:rsidRDefault="003A512F" w:rsidP="00E409BD">
            <w:pPr>
              <w:spacing w:line="360" w:lineRule="auto"/>
            </w:pPr>
          </w:p>
        </w:tc>
        <w:tc>
          <w:tcPr>
            <w:tcW w:w="1168" w:type="dxa"/>
          </w:tcPr>
          <w:p w:rsidR="003A512F" w:rsidRDefault="003A512F" w:rsidP="00E409BD">
            <w:pPr>
              <w:spacing w:line="360" w:lineRule="auto"/>
            </w:pPr>
            <w:r>
              <w:t>+deposit</w:t>
            </w:r>
          </w:p>
          <w:p w:rsidR="003A512F" w:rsidRDefault="003A512F" w:rsidP="00E409BD">
            <w:pPr>
              <w:spacing w:line="360" w:lineRule="auto"/>
            </w:pPr>
            <w:r>
              <w:t>-MM lending</w:t>
            </w: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r>
              <w:t>-MM lending</w:t>
            </w:r>
          </w:p>
        </w:tc>
        <w:tc>
          <w:tcPr>
            <w:tcW w:w="1169" w:type="dxa"/>
          </w:tcPr>
          <w:p w:rsidR="003A512F" w:rsidRDefault="003A512F" w:rsidP="00E409BD">
            <w:pPr>
              <w:spacing w:line="360" w:lineRule="auto"/>
            </w:pPr>
            <w:r>
              <w:t>-deposit</w:t>
            </w:r>
          </w:p>
        </w:tc>
      </w:tr>
      <w:tr w:rsidR="003A512F" w:rsidTr="003A512F">
        <w:tc>
          <w:tcPr>
            <w:tcW w:w="1168" w:type="dxa"/>
          </w:tcPr>
          <w:p w:rsidR="003A512F" w:rsidRDefault="003A512F" w:rsidP="00E409BD">
            <w:pPr>
              <w:spacing w:line="360" w:lineRule="auto"/>
            </w:pPr>
            <w:r>
              <w:t>-mortgage</w:t>
            </w:r>
          </w:p>
        </w:tc>
        <w:tc>
          <w:tcPr>
            <w:tcW w:w="1168" w:type="dxa"/>
          </w:tcPr>
          <w:p w:rsidR="003A512F" w:rsidRDefault="003A512F" w:rsidP="00E409BD">
            <w:pPr>
              <w:spacing w:line="360" w:lineRule="auto"/>
            </w:pPr>
            <w:r>
              <w:t>-deposit</w:t>
            </w:r>
          </w:p>
        </w:tc>
        <w:tc>
          <w:tcPr>
            <w:tcW w:w="1169" w:type="dxa"/>
          </w:tcPr>
          <w:p w:rsidR="003A512F" w:rsidRDefault="003A512F" w:rsidP="00E409BD">
            <w:pPr>
              <w:spacing w:line="360" w:lineRule="auto"/>
            </w:pPr>
            <w:r>
              <w:t>-deposit</w:t>
            </w:r>
          </w:p>
          <w:p w:rsidR="003A512F" w:rsidRDefault="003A512F" w:rsidP="00E409BD">
            <w:pPr>
              <w:spacing w:line="360" w:lineRule="auto"/>
            </w:pPr>
            <w:r>
              <w:t>+mortgage</w:t>
            </w: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c>
          <w:tcPr>
            <w:tcW w:w="1169" w:type="dxa"/>
          </w:tcPr>
          <w:p w:rsidR="003A512F" w:rsidRDefault="003A512F" w:rsidP="00E409BD">
            <w:pPr>
              <w:spacing w:line="360" w:lineRule="auto"/>
            </w:pPr>
          </w:p>
        </w:tc>
      </w:tr>
    </w:tbl>
    <w:p w:rsidR="003A512F" w:rsidRDefault="003A512F" w:rsidP="00E409BD">
      <w:pPr>
        <w:spacing w:line="360" w:lineRule="auto"/>
      </w:pPr>
    </w:p>
    <w:p w:rsidR="00876B75" w:rsidRDefault="000D01D8" w:rsidP="00E409BD">
      <w:pPr>
        <w:spacing w:line="360" w:lineRule="auto"/>
      </w:pPr>
      <w:r>
        <w:t>Th</w:t>
      </w:r>
      <w:r w:rsidR="00081BF1">
        <w:t>is</w:t>
      </w:r>
      <w:r>
        <w:t xml:space="preserve"> example reveals that the </w:t>
      </w:r>
      <w:r w:rsidRPr="005616BD">
        <w:rPr>
          <w:u w:val="single"/>
        </w:rPr>
        <w:t>elasticity</w:t>
      </w:r>
      <w:r>
        <w:t xml:space="preserve"> of flux is fundamentally about facilitation of </w:t>
      </w:r>
      <w:r w:rsidRPr="005616BD">
        <w:t>payment</w:t>
      </w:r>
      <w:r>
        <w:t xml:space="preserve">, and </w:t>
      </w:r>
      <w:r w:rsidR="00081BF1">
        <w:t xml:space="preserve">also </w:t>
      </w:r>
      <w:r>
        <w:t>that</w:t>
      </w:r>
      <w:r w:rsidR="007B6C38">
        <w:t xml:space="preserve"> this</w:t>
      </w:r>
      <w:r w:rsidR="00E405BF">
        <w:t xml:space="preserve"> elasticity</w:t>
      </w:r>
      <w:r>
        <w:t xml:space="preserve"> is subject importantly to the </w:t>
      </w:r>
      <w:r w:rsidRPr="005616BD">
        <w:rPr>
          <w:u w:val="single"/>
        </w:rPr>
        <w:t>discipline</w:t>
      </w:r>
      <w:r>
        <w:t xml:space="preserve"> of reflux which is abo</w:t>
      </w:r>
      <w:r w:rsidR="00E405BF">
        <w:t xml:space="preserve">ut the ultimate </w:t>
      </w:r>
      <w:r w:rsidR="00E405BF" w:rsidRPr="005616BD">
        <w:t>funding</w:t>
      </w:r>
      <w:r w:rsidR="00E405BF">
        <w:t xml:space="preserve"> of </w:t>
      </w:r>
      <w:r>
        <w:t xml:space="preserve">new credit.  </w:t>
      </w:r>
      <w:r w:rsidR="00F32686">
        <w:t>“</w:t>
      </w:r>
      <w:r>
        <w:t>Money funding</w:t>
      </w:r>
      <w:r w:rsidR="00F32686">
        <w:t>”</w:t>
      </w:r>
      <w:r>
        <w:t xml:space="preserve"> </w:t>
      </w:r>
      <w:r w:rsidR="007B6C38">
        <w:t>that</w:t>
      </w:r>
      <w:r>
        <w:t xml:space="preserve"> leaves the new money balances in circulation is one possibility, but so is </w:t>
      </w:r>
      <w:r w:rsidR="00F32686">
        <w:t>“</w:t>
      </w:r>
      <w:r>
        <w:t xml:space="preserve">capital </w:t>
      </w:r>
      <w:r w:rsidR="00876B75">
        <w:t>fu</w:t>
      </w:r>
      <w:r w:rsidR="00081BF1">
        <w:t>nding</w:t>
      </w:r>
      <w:r w:rsidR="00F32686">
        <w:t>”</w:t>
      </w:r>
      <w:r w:rsidR="007B6C38">
        <w:t xml:space="preserve"> that</w:t>
      </w:r>
      <w:r w:rsidR="00081BF1">
        <w:t xml:space="preserve"> extinguishes them. </w:t>
      </w:r>
      <w:r w:rsidR="00876B75">
        <w:t xml:space="preserve"> And so is the classic channel of reflux in which the new credit simply replaces a maturing old credit.</w:t>
      </w:r>
      <w:r>
        <w:t xml:space="preserve">  </w:t>
      </w:r>
      <w:r w:rsidR="00876B75">
        <w:t xml:space="preserve">In practice, we </w:t>
      </w:r>
      <w:r w:rsidR="00081BF1">
        <w:t>might</w:t>
      </w:r>
      <w:r w:rsidR="00876B75">
        <w:t xml:space="preserve"> expect that </w:t>
      </w:r>
      <w:r w:rsidR="00241C10">
        <w:t>each of</w:t>
      </w:r>
      <w:r w:rsidR="00A51380">
        <w:t xml:space="preserve"> these</w:t>
      </w:r>
      <w:r w:rsidR="00241C10">
        <w:t xml:space="preserve"> three</w:t>
      </w:r>
      <w:r w:rsidR="00A51380">
        <w:t xml:space="preserve"> mechanisms </w:t>
      </w:r>
      <w:r w:rsidR="00876B75">
        <w:t>play</w:t>
      </w:r>
      <w:r w:rsidR="00241C10">
        <w:t>s</w:t>
      </w:r>
      <w:r w:rsidR="00876B75">
        <w:t xml:space="preserve"> some role</w:t>
      </w:r>
      <w:r w:rsidR="00241C10">
        <w:t>, and that prices play a role in determining the proportion of each</w:t>
      </w:r>
      <w:r w:rsidR="00876B75">
        <w:t xml:space="preserve">.  </w:t>
      </w:r>
      <w:r w:rsidR="00241C10">
        <w:t>For now, t</w:t>
      </w:r>
      <w:r w:rsidR="00876B75">
        <w:t xml:space="preserve">he important point is that </w:t>
      </w:r>
      <w:r w:rsidR="00A51380">
        <w:t>initial flux gives way to subsequent reflux</w:t>
      </w:r>
      <w:r w:rsidR="00682A12">
        <w:t xml:space="preserve">, and what we observe </w:t>
      </w:r>
      <w:r w:rsidR="00241C10">
        <w:t xml:space="preserve">at any moment in time </w:t>
      </w:r>
      <w:r w:rsidR="00682A12">
        <w:t xml:space="preserve">as the total amount of credit and the total amount of money is a result of both flux and reflux.  </w:t>
      </w:r>
    </w:p>
    <w:p w:rsidR="005616BD" w:rsidRDefault="005616BD" w:rsidP="00E409BD">
      <w:pPr>
        <w:spacing w:line="360" w:lineRule="auto"/>
        <w:rPr>
          <w:b/>
          <w:sz w:val="28"/>
          <w:szCs w:val="28"/>
        </w:rPr>
      </w:pPr>
    </w:p>
    <w:p w:rsidR="001001DE" w:rsidRPr="001001DE" w:rsidRDefault="001001DE" w:rsidP="00E409BD">
      <w:pPr>
        <w:spacing w:line="360" w:lineRule="auto"/>
        <w:rPr>
          <w:b/>
          <w:sz w:val="28"/>
          <w:szCs w:val="28"/>
        </w:rPr>
      </w:pPr>
      <w:r w:rsidRPr="001001DE">
        <w:rPr>
          <w:b/>
          <w:sz w:val="28"/>
          <w:szCs w:val="28"/>
        </w:rPr>
        <w:t>The Inherent Instability of Credit</w:t>
      </w:r>
    </w:p>
    <w:p w:rsidR="00A51380" w:rsidRDefault="00682A12" w:rsidP="00E409BD">
      <w:pPr>
        <w:spacing w:line="360" w:lineRule="auto"/>
      </w:pPr>
      <w:r>
        <w:t xml:space="preserve">The Banking School </w:t>
      </w:r>
      <w:r w:rsidR="00876B75">
        <w:t>was thus correct to</w:t>
      </w:r>
      <w:r>
        <w:t xml:space="preserve"> insist on the importance of channels of reflux, but </w:t>
      </w:r>
      <w:r w:rsidR="00876B75">
        <w:t>perhaps incorrect in treating these channels as sufficient to regulate the destabilizing effects of flux.  N</w:t>
      </w:r>
      <w:r>
        <w:t>ote well that nothing in the above rules out credit cycles, booms and busts, neither in prices nor in quantities.   Hawtrey’s “inherent instability of credit” remains with us</w:t>
      </w:r>
      <w:r w:rsidR="00876B75">
        <w:t xml:space="preserve">, even if there is never an excess supply of money </w:t>
      </w:r>
      <w:r w:rsidR="00081BF1">
        <w:t xml:space="preserve">because </w:t>
      </w:r>
      <w:r w:rsidR="00876B75">
        <w:t xml:space="preserve">financial intermediation </w:t>
      </w:r>
      <w:r w:rsidR="00081BF1">
        <w:t>readily supplies</w:t>
      </w:r>
      <w:r w:rsidR="00876B75">
        <w:t xml:space="preserve"> wealth holders with the</w:t>
      </w:r>
      <w:r w:rsidR="00F32686">
        <w:t xml:space="preserve"> </w:t>
      </w:r>
      <w:r w:rsidR="00081BF1">
        <w:t>portfolio</w:t>
      </w:r>
      <w:r w:rsidR="00876B75">
        <w:t xml:space="preserve"> of financial assets that they prefer to hold, </w:t>
      </w:r>
      <w:r w:rsidR="007B6C38">
        <w:t xml:space="preserve">by </w:t>
      </w:r>
      <w:r w:rsidR="00876B75">
        <w:t>elastically monetizing and de-monetizing credit as demanded</w:t>
      </w:r>
      <w:r>
        <w:t xml:space="preserve">.  </w:t>
      </w:r>
    </w:p>
    <w:p w:rsidR="00241C10" w:rsidRDefault="003C094F" w:rsidP="00E409BD">
      <w:pPr>
        <w:spacing w:line="360" w:lineRule="auto"/>
      </w:pPr>
      <w:r>
        <w:t>In</w:t>
      </w:r>
      <w:r w:rsidR="007B6C38">
        <w:t xml:space="preserve"> the money view</w:t>
      </w:r>
      <w:r>
        <w:t xml:space="preserve">, we </w:t>
      </w:r>
      <w:r w:rsidR="00241C10">
        <w:t>envision th</w:t>
      </w:r>
      <w:r w:rsidR="007B6C38">
        <w:t>e</w:t>
      </w:r>
      <w:r w:rsidR="00241C10">
        <w:t xml:space="preserve"> boom and bust cycle as involving fluctuation in the</w:t>
      </w:r>
      <w:r w:rsidR="007B6C38">
        <w:t xml:space="preserve"> entire</w:t>
      </w:r>
      <w:r w:rsidR="00241C10">
        <w:t xml:space="preserve"> hierarchy of money, quantitative expansion of credit as well as qualitative monetization during the boom, and the reverse in the contraction.  In a boom the hierarchy widens and flattens; in a contraction it narrows and steepens.  It will be clear that this process involves a shift over time in the relative size of flux and reflux, and hence the relative importance of elasticity</w:t>
      </w:r>
      <w:r w:rsidR="007B6C38">
        <w:t xml:space="preserve"> (flux &gt; reflux)</w:t>
      </w:r>
      <w:r w:rsidR="00241C10">
        <w:t xml:space="preserve"> and discipline</w:t>
      </w:r>
      <w:r w:rsidR="007B6C38">
        <w:t xml:space="preserve"> (flux &lt; reflux)</w:t>
      </w:r>
      <w:r w:rsidR="00241C10">
        <w:t>.  Graph 4 shows that shift as a matter of quantities</w:t>
      </w:r>
      <w:r w:rsidR="007B6C38">
        <w:t xml:space="preserve"> and qualities</w:t>
      </w:r>
      <w:r w:rsidR="00241C10">
        <w:t>, but it is important to note (for future reference) that it will inevitably involve prices as well, and so strains on the balance sheets of any entity (e.g. our banks and central banks) whose business involves straddling the layers of the hierarchy</w:t>
      </w:r>
      <w:r w:rsidR="00455100">
        <w:t xml:space="preserve"> (see Graph 1 and 2)</w:t>
      </w:r>
      <w:r w:rsidR="00241C10">
        <w:t>.</w:t>
      </w:r>
    </w:p>
    <w:p w:rsidR="00241C10" w:rsidRPr="00241C10" w:rsidRDefault="00241C10" w:rsidP="00241C10">
      <w:pPr>
        <w:spacing w:line="360" w:lineRule="auto"/>
        <w:jc w:val="center"/>
        <w:rPr>
          <w:b/>
        </w:rPr>
      </w:pPr>
      <w:r w:rsidRPr="00241C10">
        <w:rPr>
          <w:b/>
        </w:rPr>
        <w:t>Graph 4</w:t>
      </w:r>
    </w:p>
    <w:p w:rsidR="00241C10" w:rsidRDefault="00241C10" w:rsidP="00E409BD">
      <w:pPr>
        <w:spacing w:line="360" w:lineRule="auto"/>
      </w:pPr>
      <w:r>
        <w:rPr>
          <w:noProof/>
        </w:rPr>
        <w:drawing>
          <wp:inline distT="0" distB="0" distL="0" distR="0" wp14:anchorId="1187201D" wp14:editId="07E7BBAD">
            <wp:extent cx="4453128" cy="3255264"/>
            <wp:effectExtent l="0" t="0" r="5080" b="254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rotWithShape="1">
                    <a:blip r:embed="rId20">
                      <a:extLst>
                        <a:ext uri="{28A0092B-C50C-407E-A947-70E740481C1C}">
                          <a14:useLocalDpi xmlns:a14="http://schemas.microsoft.com/office/drawing/2010/main" val="0"/>
                        </a:ext>
                      </a:extLst>
                    </a:blip>
                    <a:srcRect l="13832" t="18854" r="23156" b="20081"/>
                    <a:stretch/>
                  </pic:blipFill>
                  <pic:spPr bwMode="auto">
                    <a:xfrm>
                      <a:off x="0" y="0"/>
                      <a:ext cx="4453128" cy="3255264"/>
                    </a:xfrm>
                    <a:prstGeom prst="rect">
                      <a:avLst/>
                    </a:prstGeom>
                    <a:noFill/>
                    <a:ln>
                      <a:noFill/>
                    </a:ln>
                    <a:extLst/>
                  </pic:spPr>
                </pic:pic>
              </a:graphicData>
            </a:graphic>
          </wp:inline>
        </w:drawing>
      </w:r>
    </w:p>
    <w:p w:rsidR="00682A12" w:rsidRDefault="00241C10" w:rsidP="00E409BD">
      <w:pPr>
        <w:spacing w:line="360" w:lineRule="auto"/>
      </w:pPr>
      <w:r>
        <w:t>Even more</w:t>
      </w:r>
      <w:r w:rsidR="00682A12">
        <w:t>, under modern condi</w:t>
      </w:r>
      <w:r>
        <w:t>tions</w:t>
      </w:r>
      <w:r w:rsidR="00E405BF">
        <w:t xml:space="preserve"> the</w:t>
      </w:r>
      <w:r w:rsidR="00682A12">
        <w:t xml:space="preserve"> </w:t>
      </w:r>
      <w:r w:rsidR="00876B75">
        <w:t xml:space="preserve">inherent </w:t>
      </w:r>
      <w:r w:rsidR="00682A12">
        <w:t>instability</w:t>
      </w:r>
      <w:r w:rsidR="00876B75">
        <w:t xml:space="preserve"> of credit</w:t>
      </w:r>
      <w:r w:rsidR="00682A12">
        <w:t xml:space="preserve"> is inherently global, involving global expansion and contraction of credit, global rise and fall of asset prices, and </w:t>
      </w:r>
      <w:r w:rsidR="00455100">
        <w:t xml:space="preserve">so </w:t>
      </w:r>
      <w:r w:rsidR="00682A12">
        <w:t>requiring therefore global management of some kind.  We need more analytical apparatus before we can properly consider the possibility of management, but meanwhile it will be helpful to keep in mind the following charts whi</w:t>
      </w:r>
      <w:r w:rsidR="00876B75">
        <w:t xml:space="preserve">ch attempt empirically to measure </w:t>
      </w:r>
      <w:r w:rsidR="00EC4E26">
        <w:t>instability</w:t>
      </w:r>
      <w:r w:rsidR="00876B75">
        <w:t xml:space="preserve"> under modern conditions</w:t>
      </w:r>
      <w:r w:rsidR="00EC4E26">
        <w:t xml:space="preserve">.  </w:t>
      </w:r>
      <w:r w:rsidR="005616BD">
        <w:t>The first shows the “global financial cycle” which analytically we may consider to be a combination of the inherent instability of (global) credit, plus the monetary policy of the (global) key currency central bank.  The second shows</w:t>
      </w:r>
      <w:r w:rsidR="00EC4E26">
        <w:t xml:space="preserve"> the importance of dollar credit to the emerging market economies, which apparently expands when the dollar is weak and contracts when the dollar is strong.  Th</w:t>
      </w:r>
      <w:r w:rsidR="005616BD">
        <w:t xml:space="preserve">ese both show </w:t>
      </w:r>
      <w:r w:rsidR="00EC4E26">
        <w:t xml:space="preserve">the </w:t>
      </w:r>
      <w:r w:rsidR="005616BD">
        <w:t xml:space="preserve">empirical </w:t>
      </w:r>
      <w:r w:rsidR="00EC4E26">
        <w:t>dynamic</w:t>
      </w:r>
      <w:r w:rsidR="005616BD">
        <w:t>s</w:t>
      </w:r>
      <w:r w:rsidR="00EC4E26">
        <w:t xml:space="preserve"> </w:t>
      </w:r>
      <w:r w:rsidR="00876B75">
        <w:t xml:space="preserve">that </w:t>
      </w:r>
      <w:r w:rsidR="00EC4E26">
        <w:t>we need to understand as the basis for any project of modern money management.</w:t>
      </w:r>
    </w:p>
    <w:p w:rsidR="00EB6B41" w:rsidRDefault="00EB6B41" w:rsidP="00E409BD">
      <w:pPr>
        <w:spacing w:line="360" w:lineRule="auto"/>
      </w:pPr>
    </w:p>
    <w:p w:rsidR="00EC4E26" w:rsidRDefault="00EC4E26" w:rsidP="00E409BD">
      <w:pPr>
        <w:spacing w:line="360" w:lineRule="auto"/>
      </w:pPr>
      <w:r>
        <w:rPr>
          <w:noProof/>
        </w:rPr>
        <w:drawing>
          <wp:inline distT="0" distB="0" distL="0" distR="0" wp14:anchorId="391EE3CE" wp14:editId="04D4DB42">
            <wp:extent cx="5943600" cy="3058160"/>
            <wp:effectExtent l="0" t="0" r="0"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stretch>
                      <a:fillRect/>
                    </a:stretch>
                  </pic:blipFill>
                  <pic:spPr>
                    <a:xfrm>
                      <a:off x="0" y="0"/>
                      <a:ext cx="5943600" cy="3058160"/>
                    </a:xfrm>
                    <a:prstGeom prst="rect">
                      <a:avLst/>
                    </a:prstGeom>
                  </pic:spPr>
                </pic:pic>
              </a:graphicData>
            </a:graphic>
          </wp:inline>
        </w:drawing>
      </w:r>
    </w:p>
    <w:p w:rsidR="00022F73" w:rsidRDefault="00241C10" w:rsidP="00E409BD">
      <w:pPr>
        <w:spacing w:line="360" w:lineRule="auto"/>
      </w:pPr>
      <w:r>
        <w:t>Source:  Aldasoro, Avdjiev, Borio, and Disyatat (2020)</w:t>
      </w:r>
    </w:p>
    <w:p w:rsidR="006E2E9B" w:rsidRDefault="006E2E9B" w:rsidP="00E409BD">
      <w:pPr>
        <w:spacing w:line="360" w:lineRule="auto"/>
      </w:pPr>
      <w:r>
        <w:rPr>
          <w:noProof/>
        </w:rPr>
        <w:drawing>
          <wp:inline distT="0" distB="0" distL="0" distR="0" wp14:anchorId="2439F649" wp14:editId="5EAA1374">
            <wp:extent cx="5879939" cy="3709358"/>
            <wp:effectExtent l="0" t="0" r="6985" b="5715"/>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3"/>
                    <pic:cNvPicPr>
                      <a:picLocks noGrp="1" noChangeAspect="1"/>
                    </pic:cNvPicPr>
                  </pic:nvPicPr>
                  <pic:blipFill>
                    <a:blip r:embed="rId22"/>
                    <a:stretch>
                      <a:fillRect/>
                    </a:stretch>
                  </pic:blipFill>
                  <pic:spPr>
                    <a:xfrm>
                      <a:off x="0" y="0"/>
                      <a:ext cx="5879939" cy="3709358"/>
                    </a:xfrm>
                    <a:prstGeom prst="rect">
                      <a:avLst/>
                    </a:prstGeom>
                  </pic:spPr>
                </pic:pic>
              </a:graphicData>
            </a:graphic>
          </wp:inline>
        </w:drawing>
      </w:r>
    </w:p>
    <w:p w:rsidR="006E2E9B" w:rsidRPr="00241C10" w:rsidRDefault="006E2E9B" w:rsidP="00E409BD">
      <w:pPr>
        <w:spacing w:line="360" w:lineRule="auto"/>
      </w:pPr>
      <w:r>
        <w:t xml:space="preserve">Source:  </w:t>
      </w:r>
      <w:r w:rsidR="003C094F">
        <w:t>Erik</w:t>
      </w:r>
      <w:r>
        <w:t>, Lombardi, Mihaljek and Shin (2020)</w:t>
      </w:r>
    </w:p>
    <w:p w:rsidR="006E2E9B" w:rsidRDefault="006E2E9B">
      <w:pPr>
        <w:rPr>
          <w:b/>
          <w:sz w:val="28"/>
          <w:szCs w:val="28"/>
        </w:rPr>
      </w:pPr>
      <w:r>
        <w:rPr>
          <w:b/>
          <w:sz w:val="28"/>
          <w:szCs w:val="28"/>
        </w:rPr>
        <w:br w:type="page"/>
      </w:r>
    </w:p>
    <w:p w:rsidR="006E2E9B" w:rsidRPr="006E2E9B" w:rsidRDefault="006E2E9B" w:rsidP="006E2E9B">
      <w:pPr>
        <w:spacing w:line="360" w:lineRule="auto"/>
        <w:jc w:val="center"/>
        <w:rPr>
          <w:b/>
          <w:sz w:val="32"/>
          <w:szCs w:val="32"/>
        </w:rPr>
      </w:pPr>
      <w:r w:rsidRPr="006E2E9B">
        <w:rPr>
          <w:b/>
          <w:sz w:val="32"/>
          <w:szCs w:val="32"/>
        </w:rPr>
        <w:t>Chapter 2:  The Prices of Money</w:t>
      </w:r>
    </w:p>
    <w:p w:rsidR="00EB6B41" w:rsidRDefault="00EB6B41" w:rsidP="006E2E9B">
      <w:pPr>
        <w:spacing w:line="360" w:lineRule="auto"/>
      </w:pPr>
    </w:p>
    <w:p w:rsidR="006E2E9B" w:rsidRDefault="00EC4E26" w:rsidP="006E2E9B">
      <w:pPr>
        <w:spacing w:line="360" w:lineRule="auto"/>
      </w:pPr>
      <w:r>
        <w:t>We have been talking about interest rates and asset prices</w:t>
      </w:r>
      <w:r w:rsidR="001C1AE2">
        <w:t xml:space="preserve"> (and also exchange rates).  I</w:t>
      </w:r>
      <w:r>
        <w:t>t is now time to confront the question how these prices are determined.</w:t>
      </w:r>
      <w:r w:rsidR="00EB226E">
        <w:t xml:space="preserve">  Characteristic of the money </w:t>
      </w:r>
      <w:r w:rsidR="001C1AE2">
        <w:t xml:space="preserve">view </w:t>
      </w:r>
      <w:r w:rsidR="00EB226E">
        <w:t xml:space="preserve">is emphasis on liquidity factors </w:t>
      </w:r>
      <w:r w:rsidR="00F32686">
        <w:t>that</w:t>
      </w:r>
      <w:r w:rsidR="00EB226E">
        <w:t xml:space="preserve"> are abstracted from in other traditions.</w:t>
      </w:r>
      <w:r w:rsidR="008561AC">
        <w:t xml:space="preserve">   It will be helpful </w:t>
      </w:r>
      <w:r w:rsidR="006E2E9B">
        <w:t>however</w:t>
      </w:r>
      <w:r w:rsidR="008561AC">
        <w:t xml:space="preserve"> to begin with a brief account of some standard economic theory, the better to</w:t>
      </w:r>
      <w:r w:rsidR="004053CF">
        <w:t xml:space="preserve"> fix notation and to</w:t>
      </w:r>
      <w:r w:rsidR="008561AC">
        <w:t xml:space="preserve"> highlight the distinctive money view contribution.  The equations below</w:t>
      </w:r>
      <w:r w:rsidR="004053CF">
        <w:t xml:space="preserve"> treat respectively the determination of the rate of interest R, the price of a financial asset P</w:t>
      </w:r>
      <w:r w:rsidR="004053CF" w:rsidRPr="00E405BF">
        <w:rPr>
          <w:vertAlign w:val="subscript"/>
        </w:rPr>
        <w:t>B</w:t>
      </w:r>
      <w:r w:rsidR="004053CF">
        <w:t xml:space="preserve">, and the exchange rate s.  </w:t>
      </w:r>
    </w:p>
    <w:p w:rsidR="006E2E9B" w:rsidRDefault="006E2E9B" w:rsidP="006E2E9B">
      <w:pPr>
        <w:spacing w:line="360" w:lineRule="auto"/>
      </w:pPr>
    </w:p>
    <w:p w:rsidR="006E2E9B" w:rsidRDefault="006E2E9B" w:rsidP="006E2E9B">
      <w:pPr>
        <w:spacing w:line="360" w:lineRule="auto"/>
      </w:pPr>
      <w:r>
        <w:t>[1]</w:t>
      </w:r>
      <w:r>
        <w:tab/>
        <w:t xml:space="preserve">R = </w:t>
      </w:r>
      <w:r>
        <w:rPr>
          <w:rFonts w:cstheme="minorHAnsi"/>
        </w:rPr>
        <w:t>ρ</w:t>
      </w:r>
      <w:r>
        <w:t xml:space="preserve"> + E</w:t>
      </w:r>
      <w:r>
        <w:rPr>
          <w:rFonts w:cstheme="minorHAnsi"/>
        </w:rPr>
        <w:t>π</w:t>
      </w:r>
    </w:p>
    <w:p w:rsidR="006E2E9B" w:rsidRDefault="006E2E9B" w:rsidP="006E2E9B">
      <w:pPr>
        <w:spacing w:line="360" w:lineRule="auto"/>
      </w:pPr>
      <w:r>
        <w:t>[2]</w:t>
      </w:r>
      <w:r>
        <w:tab/>
        <w:t>P</w:t>
      </w:r>
      <w:r w:rsidRPr="004053CF">
        <w:rPr>
          <w:vertAlign w:val="subscript"/>
        </w:rPr>
        <w:t>B</w:t>
      </w:r>
      <w:r>
        <w:t xml:space="preserve"> = E</w:t>
      </w:r>
      <w:r>
        <w:rPr>
          <w:rFonts w:cstheme="minorHAnsi"/>
        </w:rPr>
        <w:t>Σδ</w:t>
      </w:r>
      <w:r w:rsidRPr="004053CF">
        <w:rPr>
          <w:rFonts w:cstheme="minorHAnsi"/>
          <w:vertAlign w:val="superscript"/>
        </w:rPr>
        <w:t>t</w:t>
      </w:r>
      <w:r>
        <w:t>CF</w:t>
      </w:r>
      <w:r w:rsidRPr="004053CF">
        <w:rPr>
          <w:vertAlign w:val="subscript"/>
        </w:rPr>
        <w:t>t</w:t>
      </w:r>
    </w:p>
    <w:p w:rsidR="006E2E9B" w:rsidRDefault="006E2E9B" w:rsidP="006E2E9B">
      <w:pPr>
        <w:spacing w:line="360" w:lineRule="auto"/>
      </w:pPr>
      <w:r>
        <w:t>[3]</w:t>
      </w:r>
      <w:r>
        <w:tab/>
        <w:t>P = sP*</w:t>
      </w:r>
    </w:p>
    <w:p w:rsidR="004053CF" w:rsidRDefault="004053CF" w:rsidP="00E409BD">
      <w:pPr>
        <w:spacing w:line="360" w:lineRule="auto"/>
      </w:pPr>
    </w:p>
    <w:p w:rsidR="008561AC" w:rsidRDefault="004053CF" w:rsidP="00E409BD">
      <w:pPr>
        <w:spacing w:line="360" w:lineRule="auto"/>
      </w:pPr>
      <w:r>
        <w:t xml:space="preserve">In equation [1], the “real” rate of interest </w:t>
      </w:r>
      <w:r>
        <w:rPr>
          <w:rFonts w:cstheme="minorHAnsi"/>
        </w:rPr>
        <w:t>ρ</w:t>
      </w:r>
      <w:r>
        <w:t xml:space="preserve"> is imagined to be determined by “real” things such as productivity and thrift, and the nominal rate R </w:t>
      </w:r>
      <w:r w:rsidR="00021B58">
        <w:t>to be</w:t>
      </w:r>
      <w:r>
        <w:t xml:space="preserve"> determined by adding the expected rate of inflation </w:t>
      </w:r>
      <w:r w:rsidR="00E0220F">
        <w:t>E</w:t>
      </w:r>
      <w:r w:rsidR="00E0220F">
        <w:rPr>
          <w:rFonts w:cstheme="minorHAnsi"/>
        </w:rPr>
        <w:t>π</w:t>
      </w:r>
      <w:r w:rsidR="00E0220F">
        <w:t xml:space="preserve"> </w:t>
      </w:r>
      <w:r>
        <w:t xml:space="preserve">(so-called Fisher Effect after Irving Fisher).  That addition is considered to arise from negotiation between borrowers and lenders, who are both (but oppositely) concerned about </w:t>
      </w:r>
      <w:r w:rsidR="00EB6B41">
        <w:t xml:space="preserve">a </w:t>
      </w:r>
      <w:r>
        <w:t xml:space="preserve">possible difference between the value of the dollar at the moment the loan is made and the value of the </w:t>
      </w:r>
      <w:r w:rsidR="005616BD">
        <w:t>dollar at the moment the loan will be</w:t>
      </w:r>
      <w:r>
        <w:t xml:space="preserve"> repaid.</w:t>
      </w:r>
    </w:p>
    <w:p w:rsidR="0003605D" w:rsidRDefault="0003605D" w:rsidP="00E409BD">
      <w:pPr>
        <w:spacing w:line="360" w:lineRule="auto"/>
      </w:pPr>
      <w:r>
        <w:t>In equation [2], asset prices P</w:t>
      </w:r>
      <w:r w:rsidRPr="00E0220F">
        <w:rPr>
          <w:vertAlign w:val="subscript"/>
        </w:rPr>
        <w:t>B</w:t>
      </w:r>
      <w:r>
        <w:t xml:space="preserve"> are imagined to be determined as a weighted sum of promised future cash flows CF</w:t>
      </w:r>
      <w:r w:rsidRPr="00E0220F">
        <w:rPr>
          <w:vertAlign w:val="subscript"/>
        </w:rPr>
        <w:t>t</w:t>
      </w:r>
      <w:r w:rsidR="005616BD">
        <w:t>.  C</w:t>
      </w:r>
      <w:r>
        <w:t xml:space="preserve">ash flows </w:t>
      </w:r>
      <w:r w:rsidR="005616BD">
        <w:t xml:space="preserve">are weighted </w:t>
      </w:r>
      <w:r>
        <w:t xml:space="preserve">by a discount factor </w:t>
      </w:r>
      <w:r w:rsidR="00E0220F">
        <w:rPr>
          <w:rFonts w:cstheme="minorHAnsi"/>
        </w:rPr>
        <w:t>δ</w:t>
      </w:r>
      <w:r w:rsidR="00E405BF">
        <w:rPr>
          <w:rFonts w:cstheme="minorHAnsi"/>
        </w:rPr>
        <w:t>&lt;1</w:t>
      </w:r>
      <w:r w:rsidR="00E0220F">
        <w:rPr>
          <w:rFonts w:cstheme="minorHAnsi"/>
        </w:rPr>
        <w:t xml:space="preserve"> </w:t>
      </w:r>
      <w:r>
        <w:t xml:space="preserve">that operates to discount distant cash flows by more than nearby cash flows, and also risky cash flows by more than safe cash flows.  The expectations operator </w:t>
      </w:r>
      <w:r w:rsidR="003C094F">
        <w:t xml:space="preserve">E </w:t>
      </w:r>
      <w:r>
        <w:t>reduc</w:t>
      </w:r>
      <w:r w:rsidR="005616BD">
        <w:t>es</w:t>
      </w:r>
      <w:r>
        <w:t xml:space="preserve"> futur</w:t>
      </w:r>
      <w:r w:rsidR="00EB6B41">
        <w:t>e probabilistic distribution</w:t>
      </w:r>
      <w:r w:rsidR="005616BD">
        <w:t>s</w:t>
      </w:r>
      <w:r w:rsidR="00EB6B41">
        <w:t xml:space="preserve"> </w:t>
      </w:r>
      <w:r>
        <w:t xml:space="preserve">to a single number that can be summed.  </w:t>
      </w:r>
      <w:r w:rsidR="006E2E9B">
        <w:t>Note that t</w:t>
      </w:r>
      <w:r>
        <w:t>he nominal interest rate in equation [1] enters</w:t>
      </w:r>
      <w:r w:rsidR="00E0220F">
        <w:t xml:space="preserve"> implicitly</w:t>
      </w:r>
      <w:r>
        <w:t xml:space="preserve"> into the disc</w:t>
      </w:r>
      <w:r w:rsidR="006E2E9B">
        <w:t>ount factor</w:t>
      </w:r>
      <w:r w:rsidR="00E405BF">
        <w:t xml:space="preserve"> (</w:t>
      </w:r>
      <w:r w:rsidR="00E405BF">
        <w:rPr>
          <w:rFonts w:cstheme="minorHAnsi"/>
        </w:rPr>
        <w:t>δ</w:t>
      </w:r>
      <w:r w:rsidR="00E405BF">
        <w:t>=1/1+R for safe assets)</w:t>
      </w:r>
      <w:r>
        <w:t xml:space="preserve">, so that in general </w:t>
      </w:r>
      <w:r w:rsidR="00E0220F">
        <w:t xml:space="preserve">a </w:t>
      </w:r>
      <w:r>
        <w:t>higher rate of interest reduces the present value of future cash flows.  Higher interest rates</w:t>
      </w:r>
      <w:r w:rsidR="00E0220F">
        <w:t xml:space="preserve"> thus</w:t>
      </w:r>
      <w:r w:rsidR="006E2E9B">
        <w:t xml:space="preserve"> mechanically</w:t>
      </w:r>
      <w:r>
        <w:t xml:space="preserve"> imply lower asset prices</w:t>
      </w:r>
      <w:r w:rsidR="005616BD">
        <w:t>, and vice versa</w:t>
      </w:r>
      <w:r>
        <w:t>.</w:t>
      </w:r>
    </w:p>
    <w:p w:rsidR="0003605D" w:rsidRDefault="0003605D" w:rsidP="00E409BD">
      <w:pPr>
        <w:spacing w:line="360" w:lineRule="auto"/>
      </w:pPr>
      <w:r>
        <w:t>In equation [3], the exchange rate</w:t>
      </w:r>
      <w:r w:rsidR="006E2E9B">
        <w:t xml:space="preserve"> s</w:t>
      </w:r>
      <w:r>
        <w:t xml:space="preserve"> is imagined to be determined </w:t>
      </w:r>
      <w:r w:rsidR="00E0220F">
        <w:t>by the level of prices in the two countries under consideration.  The idea here is a kind of generalization of the so-called Law of One Price.  A given tradeable good should cost the same at home as abroad, otherwise there would be an incentive to buy in the cheap market and sell in the more expensive one.</w:t>
      </w:r>
    </w:p>
    <w:p w:rsidR="00E0220F" w:rsidRDefault="00422CA1" w:rsidP="00E409BD">
      <w:pPr>
        <w:spacing w:line="360" w:lineRule="auto"/>
      </w:pPr>
      <w:r>
        <w:t xml:space="preserve">It is </w:t>
      </w:r>
      <w:r w:rsidR="00E405BF">
        <w:t>important now to</w:t>
      </w:r>
      <w:r>
        <w:t xml:space="preserve"> emphasiz</w:t>
      </w:r>
      <w:r w:rsidR="00E405BF">
        <w:t>e, which is not often even mentioned in standard pedagogy,</w:t>
      </w:r>
      <w:r>
        <w:t xml:space="preserve"> that a</w:t>
      </w:r>
      <w:r w:rsidR="00E0220F">
        <w:t>ll three of these equat</w:t>
      </w:r>
      <w:r>
        <w:t xml:space="preserve">ions </w:t>
      </w:r>
      <w:r w:rsidR="005616BD">
        <w:t>are intended</w:t>
      </w:r>
      <w:r>
        <w:t xml:space="preserve"> to explain what prices </w:t>
      </w:r>
      <w:r w:rsidRPr="00422CA1">
        <w:rPr>
          <w:u w:val="single"/>
        </w:rPr>
        <w:t>should</w:t>
      </w:r>
      <w:r>
        <w:t xml:space="preserve"> be.  It is appreciated that in actual markets prices may differ, jiggling up and down, but it is imagined that this jiggling is grounded by the forces outlined in the equations.  Actual prices may differ from</w:t>
      </w:r>
      <w:r w:rsidR="00E405BF">
        <w:t xml:space="preserve"> these</w:t>
      </w:r>
      <w:r>
        <w:t xml:space="preserve"> “warranted” prices at any moment in time, but underlying economic forces operate to keep them in the vicinity, and so we are warranted in abstracting from those other forces.</w:t>
      </w:r>
    </w:p>
    <w:p w:rsidR="00422CA1" w:rsidRDefault="006E2E9B" w:rsidP="00E409BD">
      <w:pPr>
        <w:spacing w:line="360" w:lineRule="auto"/>
      </w:pPr>
      <w:r>
        <w:t>In standard theory, o</w:t>
      </w:r>
      <w:r w:rsidR="00422CA1">
        <w:t>ne of those other forces is liquidity.</w:t>
      </w:r>
      <w:r w:rsidR="00E405BF">
        <w:t xml:space="preserve">  Abstracting from liquidity</w:t>
      </w:r>
      <w:r>
        <w:t xml:space="preserve"> in this way</w:t>
      </w:r>
      <w:r w:rsidR="00E405BF">
        <w:t xml:space="preserve"> </w:t>
      </w:r>
      <w:r w:rsidR="005616BD">
        <w:t>amounts to</w:t>
      </w:r>
      <w:r w:rsidR="00422CA1">
        <w:t xml:space="preserve"> assum</w:t>
      </w:r>
      <w:r w:rsidR="005616BD">
        <w:t>ing</w:t>
      </w:r>
      <w:r w:rsidR="00422CA1">
        <w:t xml:space="preserve"> that liquidity plays no role in determining the warranted price, only the jiggling around that price.  In essence, the warranted price of liquidity is </w:t>
      </w:r>
      <w:r w:rsidR="00422CA1" w:rsidRPr="006E2E9B">
        <w:rPr>
          <w:u w:val="single"/>
        </w:rPr>
        <w:t>assumed</w:t>
      </w:r>
      <w:r w:rsidR="00422CA1">
        <w:t xml:space="preserve"> to be zero, although it is appreciated that its actual price may differ, and sometimes by a lot as in financial crises.  That’s why</w:t>
      </w:r>
      <w:r w:rsidR="00E405BF">
        <w:t>,</w:t>
      </w:r>
      <w:r w:rsidR="00422CA1">
        <w:t xml:space="preserve"> in standard theory, financial crises are treated as special cases, for which we need a special theory.  Not so in the money view, which is int</w:t>
      </w:r>
      <w:r w:rsidR="003C094F">
        <w:t xml:space="preserve">erested </w:t>
      </w:r>
      <w:r w:rsidR="00422CA1">
        <w:t>precisely</w:t>
      </w:r>
      <w:r w:rsidR="003C094F">
        <w:t xml:space="preserve"> in</w:t>
      </w:r>
      <w:r w:rsidR="00422CA1">
        <w:t xml:space="preserve"> the jiggling from which standard theory abstracts, and </w:t>
      </w:r>
      <w:r>
        <w:t>s</w:t>
      </w:r>
      <w:r w:rsidR="00571C50">
        <w:t xml:space="preserve">ees financial crisis as merely an especially large jiggle, comprehensible in principle by the same forces that determine the price of liquidity in normal times.  </w:t>
      </w:r>
      <w:r w:rsidR="005616BD" w:rsidRPr="005616BD">
        <w:rPr>
          <w:b/>
        </w:rPr>
        <w:t>I</w:t>
      </w:r>
      <w:r w:rsidR="00571C50" w:rsidRPr="00021B58">
        <w:rPr>
          <w:b/>
        </w:rPr>
        <w:t xml:space="preserve">n </w:t>
      </w:r>
      <w:r w:rsidR="007503A9" w:rsidRPr="00021B58">
        <w:rPr>
          <w:b/>
        </w:rPr>
        <w:t>the money view</w:t>
      </w:r>
      <w:r w:rsidR="00571C50" w:rsidRPr="00021B58">
        <w:rPr>
          <w:b/>
        </w:rPr>
        <w:t xml:space="preserve"> the price of liquidity may be small </w:t>
      </w:r>
      <w:r w:rsidR="007503A9" w:rsidRPr="00021B58">
        <w:rPr>
          <w:b/>
        </w:rPr>
        <w:t xml:space="preserve">in normal times </w:t>
      </w:r>
      <w:r w:rsidR="00571C50" w:rsidRPr="00021B58">
        <w:rPr>
          <w:b/>
        </w:rPr>
        <w:t>but it is not zero and it is not constant</w:t>
      </w:r>
      <w:r w:rsidR="00571C50">
        <w:t xml:space="preserve">, </w:t>
      </w:r>
      <w:r w:rsidR="002B6626">
        <w:t xml:space="preserve">and </w:t>
      </w:r>
      <w:r w:rsidR="00571C50">
        <w:t>so in principle it should enter</w:t>
      </w:r>
      <w:r w:rsidR="002B6626">
        <w:t xml:space="preserve"> into</w:t>
      </w:r>
      <w:r w:rsidR="00571C50">
        <w:t xml:space="preserve"> all three of the standard equations.  But how?</w:t>
      </w:r>
    </w:p>
    <w:p w:rsidR="00571C50" w:rsidRDefault="00571C50" w:rsidP="00E409BD">
      <w:pPr>
        <w:spacing w:line="360" w:lineRule="auto"/>
      </w:pPr>
      <w:r>
        <w:t>In the money view, we think of all these prices as bei</w:t>
      </w:r>
      <w:r w:rsidR="007503A9">
        <w:t xml:space="preserve">ng determined in dealer markets, and </w:t>
      </w:r>
      <w:r w:rsidR="002B6626">
        <w:t xml:space="preserve">we </w:t>
      </w:r>
      <w:r w:rsidR="007503A9">
        <w:t xml:space="preserve">use the economics of the dealer function to explain exactly how.  In standard theory, it is typically assumed that supply and demand confront each other directly, where they are brought into equality by movement of price.  In </w:t>
      </w:r>
      <w:r w:rsidR="002B6626">
        <w:t>the</w:t>
      </w:r>
      <w:r w:rsidR="007503A9">
        <w:t xml:space="preserve"> dealer model, by contrast, we imagine dealers absorbing mismatch between supply and demand by themselves stepping in on the short side</w:t>
      </w:r>
      <w:r w:rsidR="00021B58">
        <w:t xml:space="preserve"> of the market</w:t>
      </w:r>
      <w:r w:rsidR="007503A9">
        <w:t xml:space="preserve">, with the consequence that price does not have to move so much.  In doing so they are suppliers of liquidity, but not for free; that’s where the price of liquidity comes from.  Importantly, as dealers are motivated by profit, we expect competition and arbitrage across markets to lead to equalization of the price of liquidity, but not elimination of it.  </w:t>
      </w:r>
    </w:p>
    <w:p w:rsidR="00291775" w:rsidRDefault="00291775" w:rsidP="00E409BD">
      <w:pPr>
        <w:spacing w:line="360" w:lineRule="auto"/>
      </w:pPr>
      <w:r>
        <w:t xml:space="preserve">The diagram below is taken from Treynor (1987) “Economics of the Dealer Function”.  He is thinking about a dealer making a market in the stock of some publically traded company, and he is thinking about this question from the point of view of a trader.  What the trader sees in the market is what Treynor calls the “inside spread”, a publically posted bid (offer to buy) and ask (offer to sell), two prices not one.  One way </w:t>
      </w:r>
      <w:r w:rsidR="00EB6B41">
        <w:t xml:space="preserve">that </w:t>
      </w:r>
      <w:r>
        <w:t xml:space="preserve">dealers make money is </w:t>
      </w:r>
      <w:r w:rsidR="00EB6B41">
        <w:t xml:space="preserve">by </w:t>
      </w:r>
      <w:r>
        <w:t>buying at a lower price than they sell, and this itself might be considered a price of liquidity.  But Treynor’s emphasis is elsewhere, and so also is ours.</w:t>
      </w:r>
    </w:p>
    <w:p w:rsidR="00EB6B41" w:rsidRDefault="00EB6B41" w:rsidP="00E409BD">
      <w:pPr>
        <w:spacing w:line="360" w:lineRule="auto"/>
      </w:pPr>
    </w:p>
    <w:p w:rsidR="007503A9" w:rsidRDefault="00291775" w:rsidP="00E409BD">
      <w:pPr>
        <w:spacing w:line="360" w:lineRule="auto"/>
      </w:pPr>
      <w:r w:rsidRPr="00291775">
        <w:rPr>
          <w:noProof/>
        </w:rPr>
        <w:drawing>
          <wp:inline distT="0" distB="0" distL="0" distR="0">
            <wp:extent cx="5943600" cy="402965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29657"/>
                    </a:xfrm>
                    <a:prstGeom prst="rect">
                      <a:avLst/>
                    </a:prstGeom>
                    <a:noFill/>
                    <a:ln>
                      <a:noFill/>
                    </a:ln>
                  </pic:spPr>
                </pic:pic>
              </a:graphicData>
            </a:graphic>
          </wp:inline>
        </w:drawing>
      </w:r>
    </w:p>
    <w:p w:rsidR="008561AC" w:rsidRDefault="008561AC" w:rsidP="00E409BD">
      <w:pPr>
        <w:spacing w:line="360" w:lineRule="auto"/>
      </w:pPr>
    </w:p>
    <w:p w:rsidR="008561AC" w:rsidRDefault="00291775" w:rsidP="00E409BD">
      <w:pPr>
        <w:spacing w:line="360" w:lineRule="auto"/>
      </w:pPr>
      <w:r>
        <w:t>His interest is fundamentally in the outside spread, which is not p</w:t>
      </w:r>
      <w:r w:rsidR="00021E67">
        <w:t>ublically observable, and with the</w:t>
      </w:r>
      <w:r>
        <w:t xml:space="preserve"> relation</w:t>
      </w:r>
      <w:r w:rsidR="00021E67">
        <w:t>ship between the outside and the inside spread.  In Treynor’s</w:t>
      </w:r>
      <w:r>
        <w:t xml:space="preserve"> theory, dealers absorb order flow by buying and selling, and the net order flow </w:t>
      </w:r>
      <w:r w:rsidR="00021E67">
        <w:t xml:space="preserve">then </w:t>
      </w:r>
      <w:r>
        <w:t>changes their “position”, which may be net long or net short.  A</w:t>
      </w:r>
      <w:r w:rsidR="003C094F">
        <w:t xml:space="preserve">s their position gets longer, </w:t>
      </w:r>
      <w:r>
        <w:t xml:space="preserve">dealers lower both the </w:t>
      </w:r>
      <w:r w:rsidR="000B4876">
        <w:t>bid and</w:t>
      </w:r>
      <w:r>
        <w:t xml:space="preserve"> ask, continuing to offer their services but adding to their long position only at a lower price.  </w:t>
      </w:r>
      <w:r w:rsidR="000B4876">
        <w:t>As their position gets shorter, dealers raise both the bid and ask, continuing to offer their services but adding to their short position only at a higher price.</w:t>
      </w:r>
      <w:r w:rsidR="002B6626">
        <w:t xml:space="preserve">  The size of the dealer’s position is limited, both short and long, by the dealer’s resources and risk tolerance.  </w:t>
      </w:r>
      <w:r w:rsidR="00EB6B41">
        <w:t>When the dealer’s position reaches those</w:t>
      </w:r>
      <w:r w:rsidR="002B6626">
        <w:t xml:space="preserve"> limits, the dealer stops offering an inside spread and turns the problem over to the value-based traders who offer the outside spread. </w:t>
      </w:r>
    </w:p>
    <w:p w:rsidR="000B4876" w:rsidRDefault="000B4876" w:rsidP="00E409BD">
      <w:pPr>
        <w:spacing w:line="360" w:lineRule="auto"/>
      </w:pPr>
      <w:r>
        <w:t xml:space="preserve">Treynor is interested in using this model to consider the price of liquidity, which is to say what a trader like himself pays for the privilege of buying and selling with a dealer counterparty.  For him, the most important lesson is that it is very expensive to trade with the crowd, and the reason is that if everyone in the market is trying to buy or to sell, then the observed price (the inside spread offered by the dealer) will be very near one or the other extremes of the outside spread.  If we take the midpoint </w:t>
      </w:r>
      <w:r w:rsidR="002B6626">
        <w:t xml:space="preserve">of the outside spread </w:t>
      </w:r>
      <w:r>
        <w:t xml:space="preserve">as fair valuation (for sake of argument) then the trader risks paying too much or selling for too little.  The smart trader </w:t>
      </w:r>
      <w:r w:rsidR="00EB6B41">
        <w:t xml:space="preserve">instead </w:t>
      </w:r>
      <w:r>
        <w:t>wants to make the outside spread, buying when price is beaten down below value and selling when price is bid up above value, which means buying when everyone else is selling, and selling when everyone e</w:t>
      </w:r>
      <w:r w:rsidR="00021E67">
        <w:t>lse is buying.  This kind of</w:t>
      </w:r>
      <w:r>
        <w:t xml:space="preserve"> trader supplies liquidity to the market, earning the liquidity premium rather than paying it.</w:t>
      </w:r>
    </w:p>
    <w:p w:rsidR="00F70E28" w:rsidRDefault="00F70E28" w:rsidP="00E409BD">
      <w:pPr>
        <w:spacing w:line="360" w:lineRule="auto"/>
      </w:pPr>
      <w:r>
        <w:t xml:space="preserve">Treynor is interested in the price of an individual stock, but his model can be adapted for our purposes, which are determination of the rate of interest and the price of financial assets in general, markets that we are presuming to be global.  </w:t>
      </w:r>
      <w:r w:rsidR="003C094F">
        <w:t>By contrast to Treynor, o</w:t>
      </w:r>
      <w:r>
        <w:t>ur concern is</w:t>
      </w:r>
      <w:r w:rsidR="003C094F">
        <w:t xml:space="preserve"> </w:t>
      </w:r>
      <w:r>
        <w:t>with macroeconomic prices, not microeconomic prices.  We think of the rate of interest being determined in money markets by money market dealers, and we think of the price of financial assets as being determined in capital markets by capital market dealers.</w:t>
      </w:r>
    </w:p>
    <w:p w:rsidR="0035344E" w:rsidRDefault="00F70E28" w:rsidP="00E409BD">
      <w:pPr>
        <w:spacing w:line="360" w:lineRule="auto"/>
      </w:pPr>
      <w:r>
        <w:t xml:space="preserve">Just so, </w:t>
      </w:r>
      <w:r w:rsidR="0035344E">
        <w:t>consider the following extension of Treynor (</w:t>
      </w:r>
      <w:r w:rsidR="00924F9B">
        <w:t xml:space="preserve">taken from </w:t>
      </w:r>
      <w:r w:rsidR="0035344E">
        <w:t>Mehrling et al 2014).  The dealer bid-ask curves slope up instead of down because we are quoting money market yields and risk spreads rather than asset prices.  But the logic of the model is the same.  I am showing here the determination of these yields during the boom before the Global Financial Crisis, when shadow banking was in expansion mode.   Pension funds</w:t>
      </w:r>
      <w:r w:rsidR="00EB6B41">
        <w:t>,</w:t>
      </w:r>
      <w:r w:rsidR="0035344E">
        <w:t xml:space="preserve"> for example</w:t>
      </w:r>
      <w:r w:rsidR="00EB6B41">
        <w:t>,</w:t>
      </w:r>
      <w:r w:rsidR="0035344E">
        <w:t xml:space="preserve"> were eager to get exposure to fix</w:t>
      </w:r>
      <w:r w:rsidR="005616BD">
        <w:t>ed income returns from mortgage-</w:t>
      </w:r>
      <w:r w:rsidR="0035344E">
        <w:t>backed securities, and in doing so they drove funding yields and risk premia down, arguably away from fair value, so creating an incentive for the creation of shadow banks which, in our definition, are</w:t>
      </w:r>
      <w:r w:rsidR="00021E67">
        <w:t xml:space="preserve"> constructed as</w:t>
      </w:r>
      <w:r w:rsidR="0035344E">
        <w:t xml:space="preserve"> money market funding of capital market lending.</w:t>
      </w:r>
      <w:r w:rsidR="00C104CB">
        <w:t xml:space="preserve">  </w:t>
      </w:r>
    </w:p>
    <w:p w:rsidR="0035344E" w:rsidRDefault="0035344E" w:rsidP="00E409BD">
      <w:pPr>
        <w:spacing w:line="360" w:lineRule="auto"/>
      </w:pPr>
      <w:r w:rsidRPr="0035344E">
        <w:rPr>
          <w:noProof/>
        </w:rPr>
        <w:drawing>
          <wp:inline distT="0" distB="0" distL="0" distR="0">
            <wp:extent cx="5251450" cy="26352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1450" cy="2635250"/>
                    </a:xfrm>
                    <a:prstGeom prst="rect">
                      <a:avLst/>
                    </a:prstGeom>
                    <a:noFill/>
                    <a:ln>
                      <a:noFill/>
                    </a:ln>
                  </pic:spPr>
                </pic:pic>
              </a:graphicData>
            </a:graphic>
          </wp:inline>
        </w:drawing>
      </w:r>
    </w:p>
    <w:p w:rsidR="002C03E1" w:rsidRDefault="002C03E1" w:rsidP="00E409BD">
      <w:pPr>
        <w:spacing w:line="360" w:lineRule="auto"/>
      </w:pPr>
    </w:p>
    <w:p w:rsidR="00924F9B" w:rsidRDefault="00C104CB" w:rsidP="00E409BD">
      <w:pPr>
        <w:spacing w:line="360" w:lineRule="auto"/>
      </w:pPr>
      <w:r>
        <w:t>That’s the story of “normal times”</w:t>
      </w:r>
      <w:r w:rsidR="00F14F63">
        <w:t>.  I</w:t>
      </w:r>
      <w:r w:rsidR="00021E67">
        <w:t>mportantly</w:t>
      </w:r>
      <w:r w:rsidR="005616BD">
        <w:t>, the</w:t>
      </w:r>
      <w:r>
        <w:t xml:space="preserve"> story of “crisis times</w:t>
      </w:r>
      <w:r w:rsidR="00021E67">
        <w:t>”</w:t>
      </w:r>
      <w:r>
        <w:t xml:space="preserve"> uses exactly the same analytical apparatus.  Now the imbalance of supply and demand goes the other way, and so do dealer balance sheets and the prices they quote.  The diagram</w:t>
      </w:r>
      <w:r w:rsidR="00021E67">
        <w:t xml:space="preserve"> below</w:t>
      </w:r>
      <w:r>
        <w:t xml:space="preserve"> shows </w:t>
      </w:r>
      <w:r w:rsidR="00021E67">
        <w:t>dealer</w:t>
      </w:r>
      <w:r>
        <w:t xml:space="preserve"> balance sheets becoming overwhelmed, which is what caused the crisis.  </w:t>
      </w:r>
      <w:r w:rsidR="002B6626">
        <w:t xml:space="preserve">In the event, </w:t>
      </w:r>
      <w:r>
        <w:t>the central bank was able to put a floor on the crisis by essentially taking shadow-banking type exposures onto its own balance sheet, expanding on both sides.  The excess exposu</w:t>
      </w:r>
      <w:r w:rsidR="00021E67">
        <w:t>res in the Treynor diagram got taken up</w:t>
      </w:r>
      <w:r>
        <w:t xml:space="preserve"> by the central bank.</w:t>
      </w:r>
    </w:p>
    <w:p w:rsidR="00F14F63" w:rsidRDefault="00F14F63" w:rsidP="00E409BD">
      <w:pPr>
        <w:spacing w:line="360" w:lineRule="auto"/>
      </w:pPr>
    </w:p>
    <w:p w:rsidR="00C104CB" w:rsidRDefault="00C104CB" w:rsidP="00E409BD">
      <w:pPr>
        <w:spacing w:line="360" w:lineRule="auto"/>
      </w:pPr>
      <w:r w:rsidRPr="00C104CB">
        <w:rPr>
          <w:noProof/>
        </w:rPr>
        <w:drawing>
          <wp:inline distT="0" distB="0" distL="0" distR="0">
            <wp:extent cx="497205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2571750"/>
                    </a:xfrm>
                    <a:prstGeom prst="rect">
                      <a:avLst/>
                    </a:prstGeom>
                    <a:noFill/>
                    <a:ln>
                      <a:noFill/>
                    </a:ln>
                  </pic:spPr>
                </pic:pic>
              </a:graphicData>
            </a:graphic>
          </wp:inline>
        </w:drawing>
      </w:r>
    </w:p>
    <w:p w:rsidR="002B6626" w:rsidRDefault="002B6626" w:rsidP="00E409BD">
      <w:pPr>
        <w:spacing w:line="360" w:lineRule="auto"/>
      </w:pPr>
    </w:p>
    <w:p w:rsidR="002B6626" w:rsidRPr="002B6626" w:rsidRDefault="002B6626" w:rsidP="00E409BD">
      <w:pPr>
        <w:spacing w:line="360" w:lineRule="auto"/>
        <w:rPr>
          <w:b/>
          <w:sz w:val="28"/>
          <w:szCs w:val="28"/>
        </w:rPr>
      </w:pPr>
      <w:r w:rsidRPr="002B6626">
        <w:rPr>
          <w:b/>
          <w:sz w:val="28"/>
          <w:szCs w:val="28"/>
        </w:rPr>
        <w:t>The Price of Liquidity</w:t>
      </w:r>
    </w:p>
    <w:p w:rsidR="002B6626" w:rsidRDefault="00C104CB" w:rsidP="00E409BD">
      <w:pPr>
        <w:spacing w:line="360" w:lineRule="auto"/>
      </w:pPr>
      <w:r>
        <w:t>The drama of boom and bust is meant as a demonstration of the utility of the money view framework in both normal and crisis times.  But it is important not to be distr</w:t>
      </w:r>
      <w:r w:rsidR="002B6626">
        <w:t xml:space="preserve">acted by the boom-bust frame.  </w:t>
      </w:r>
      <w:r>
        <w:t xml:space="preserve">Specifically, economists have long observed what look to them like asset price anomalies, viewed from the standard theoretical frame.  </w:t>
      </w:r>
      <w:r w:rsidR="008B3B86">
        <w:t>Two such anomalies are of central importance</w:t>
      </w:r>
      <w:r w:rsidR="00021E67">
        <w:t xml:space="preserve"> for macroeconomics</w:t>
      </w:r>
      <w:r w:rsidR="008B3B86">
        <w:t>, the empirical failure of the Expectations Hypothesis of the Term Structure</w:t>
      </w:r>
      <w:r w:rsidR="002B6626">
        <w:t>,</w:t>
      </w:r>
      <w:r w:rsidR="008B3B86">
        <w:t xml:space="preserve"> and the even larger empirical failure of Uncovered Interest Parity in exchange markets</w:t>
      </w:r>
      <w:r w:rsidR="00855DDD">
        <w:t xml:space="preserve"> (see for example Blinder</w:t>
      </w:r>
      <w:r w:rsidR="00021B58">
        <w:t xml:space="preserve"> 2004, Ch. 3</w:t>
      </w:r>
      <w:r w:rsidR="00855DDD">
        <w:t>)</w:t>
      </w:r>
      <w:r w:rsidR="008B3B86">
        <w:t xml:space="preserve">.   </w:t>
      </w:r>
      <w:r w:rsidR="002B6626">
        <w:t>In the money view, we thi</w:t>
      </w:r>
      <w:r w:rsidR="00F14F63">
        <w:t>nk</w:t>
      </w:r>
      <w:r w:rsidR="002B6626">
        <w:t xml:space="preserve"> of these “anomalies” as arising from the pricing of liquidity.</w:t>
      </w:r>
    </w:p>
    <w:p w:rsidR="00C104CB" w:rsidRDefault="002B6626" w:rsidP="00E409BD">
      <w:pPr>
        <w:spacing w:line="360" w:lineRule="auto"/>
      </w:pPr>
      <w:r>
        <w:t xml:space="preserve">To develop this idea, we need some more notation.  </w:t>
      </w:r>
      <w:r w:rsidR="008B3B86">
        <w:t>Suppose that both Forward Interest Rate Parity and Covered Interest Parity hold, so that forwa</w:t>
      </w:r>
      <w:r w:rsidR="004B4702">
        <w:t>rd rates are implied by current</w:t>
      </w:r>
      <w:r w:rsidR="008B3B86">
        <w:t xml:space="preserve"> spot rates as </w:t>
      </w:r>
      <w:r w:rsidR="004B4702">
        <w:t>in equations [4] and [5]</w:t>
      </w:r>
      <w:r w:rsidR="008B3B86">
        <w:t>:</w:t>
      </w:r>
    </w:p>
    <w:p w:rsidR="008B3B86" w:rsidRDefault="008B3B86" w:rsidP="00E409BD">
      <w:pPr>
        <w:spacing w:line="360" w:lineRule="auto"/>
      </w:pPr>
      <w:r>
        <w:t xml:space="preserve"> </w:t>
      </w:r>
    </w:p>
    <w:p w:rsidR="00C104CB" w:rsidRDefault="00855DDD" w:rsidP="00E409BD">
      <w:pPr>
        <w:spacing w:line="360" w:lineRule="auto"/>
      </w:pPr>
      <w:r>
        <w:t>[4]</w:t>
      </w:r>
      <w:r>
        <w:tab/>
      </w:r>
      <w:r w:rsidR="008B3B86">
        <w:t>[1+R(0,3)][1+F(3,6)] = [1+R(0,6)]</w:t>
      </w:r>
    </w:p>
    <w:p w:rsidR="00855DDD" w:rsidRDefault="00855DDD" w:rsidP="00E409BD">
      <w:pPr>
        <w:spacing w:line="360" w:lineRule="auto"/>
      </w:pPr>
      <w:r>
        <w:t>[5]</w:t>
      </w:r>
      <w:r>
        <w:tab/>
      </w:r>
      <w:r w:rsidR="008B3B86">
        <w:t>[1+R*(0,T)]S(0) = [1+R(0,T)]F(T).</w:t>
      </w:r>
    </w:p>
    <w:p w:rsidR="00F14F63" w:rsidRDefault="00F14F63" w:rsidP="00E409BD">
      <w:pPr>
        <w:spacing w:line="360" w:lineRule="auto"/>
      </w:pPr>
    </w:p>
    <w:p w:rsidR="004B4702" w:rsidRDefault="008B3B86" w:rsidP="00E409BD">
      <w:pPr>
        <w:spacing w:line="360" w:lineRule="auto"/>
      </w:pPr>
      <w:r>
        <w:t>Here R(0,3) and R(0,6) are three month and six month</w:t>
      </w:r>
      <w:r w:rsidR="00FC2D1C">
        <w:t xml:space="preserve"> interest rates, which imply a forward r</w:t>
      </w:r>
      <w:r>
        <w:t>ate of</w:t>
      </w:r>
      <w:r w:rsidR="00FC2D1C">
        <w:t xml:space="preserve"> interest</w:t>
      </w:r>
      <w:r>
        <w:t xml:space="preserve"> F(3,6) that can be locked in</w:t>
      </w:r>
      <w:r w:rsidR="00A71F94">
        <w:t xml:space="preserve"> today</w:t>
      </w:r>
      <w:r>
        <w:t>, either short or long.   Similarly R*(0,T) and R(0,T) are T-dated interest rates in foreign and domestic curren</w:t>
      </w:r>
      <w:r w:rsidR="00021E67">
        <w:t>cy respectively, which imply a f</w:t>
      </w:r>
      <w:r>
        <w:t>orward exchange rate of F(T) that can be locked in</w:t>
      </w:r>
      <w:r w:rsidR="00A71F94">
        <w:t xml:space="preserve"> today</w:t>
      </w:r>
      <w:r>
        <w:t>, either short or long.</w:t>
      </w:r>
      <w:r w:rsidR="002B6626">
        <w:t xml:space="preserve">  By assuming FIP and CIP, we are assuming riskless arbitrage between the relevant forward and its synthetic counterpart constructed with long and short positions in the underlying cash markets.  </w:t>
      </w:r>
      <w:r w:rsidR="00A71F94">
        <w:t>(The Global Financial Crisis taught us that t</w:t>
      </w:r>
      <w:r w:rsidR="002B6626">
        <w:t>he arbitrage is not actually riskless</w:t>
      </w:r>
      <w:r w:rsidR="00A71F94">
        <w:t xml:space="preserve">, and </w:t>
      </w:r>
      <w:r w:rsidR="002B6626">
        <w:t>ever since equations [4] and [5] do not hold as tightly as they did before, i.e. there is a price of liquidity in this re</w:t>
      </w:r>
      <w:r w:rsidR="00FC2D1C">
        <w:t>lationship as well.  But put that aside for the moment.</w:t>
      </w:r>
      <w:r w:rsidR="00A71F94">
        <w:t>)</w:t>
      </w:r>
    </w:p>
    <w:p w:rsidR="008B3B86" w:rsidRDefault="004B4702" w:rsidP="00E409BD">
      <w:pPr>
        <w:spacing w:line="360" w:lineRule="auto"/>
      </w:pPr>
      <w:r>
        <w:t>I</w:t>
      </w:r>
      <w:r w:rsidR="00855DDD">
        <w:t>ntuitively we might expect that these forward rates are unbiased estimators of future spot rates</w:t>
      </w:r>
      <w:r>
        <w:t>, as in equations [6] and [7]</w:t>
      </w:r>
      <w:r w:rsidR="002B6626">
        <w:t>.  That is, our intuition su</w:t>
      </w:r>
      <w:r w:rsidR="00C93189">
        <w:t>ggests that</w:t>
      </w:r>
      <w:r w:rsidR="002B6626">
        <w:t xml:space="preserve"> both the Expectations Theory of the Term Structure and Uncovered Interest Parity</w:t>
      </w:r>
      <w:r w:rsidR="00C93189">
        <w:t xml:space="preserve"> should hold.  B</w:t>
      </w:r>
      <w:r w:rsidR="00855DDD">
        <w:t>ut empirically it seems not to be the case.  Why not?</w:t>
      </w:r>
    </w:p>
    <w:p w:rsidR="00021E67" w:rsidRDefault="00021E67" w:rsidP="00E409BD">
      <w:pPr>
        <w:spacing w:line="360" w:lineRule="auto"/>
      </w:pPr>
    </w:p>
    <w:p w:rsidR="00A71F94" w:rsidRDefault="004B4702" w:rsidP="00E409BD">
      <w:pPr>
        <w:spacing w:line="360" w:lineRule="auto"/>
      </w:pPr>
      <w:r>
        <w:t>[6]</w:t>
      </w:r>
      <w:r>
        <w:tab/>
        <w:t xml:space="preserve">F(3,6) = ER(3,6), Expectations Theory of the Term Structure;  </w:t>
      </w:r>
    </w:p>
    <w:p w:rsidR="004B4702" w:rsidRDefault="00A71F94" w:rsidP="00A71F94">
      <w:pPr>
        <w:spacing w:line="360" w:lineRule="auto"/>
        <w:ind w:left="4320" w:firstLine="720"/>
      </w:pPr>
      <w:r>
        <w:t xml:space="preserve">but </w:t>
      </w:r>
      <w:r w:rsidR="004B4702">
        <w:t>empirically F(3,6) &gt; ER(3,6)</w:t>
      </w:r>
    </w:p>
    <w:p w:rsidR="00A71F94" w:rsidRDefault="004B4702" w:rsidP="00E409BD">
      <w:pPr>
        <w:spacing w:line="360" w:lineRule="auto"/>
      </w:pPr>
      <w:r>
        <w:t>[7]</w:t>
      </w:r>
      <w:r>
        <w:tab/>
        <w:t xml:space="preserve">F(T) = ES(T), Uncovered Interest Parity; </w:t>
      </w:r>
    </w:p>
    <w:p w:rsidR="004B4702" w:rsidRDefault="00A71F94" w:rsidP="00A71F94">
      <w:pPr>
        <w:spacing w:line="360" w:lineRule="auto"/>
        <w:ind w:left="4320" w:firstLine="720"/>
      </w:pPr>
      <w:r>
        <w:t xml:space="preserve">but </w:t>
      </w:r>
      <w:r w:rsidR="004B4702">
        <w:t>empirically, given R*&lt;R, F(T) &gt; ES(T)</w:t>
      </w:r>
    </w:p>
    <w:p w:rsidR="00021E67" w:rsidRDefault="00021E67" w:rsidP="00E409BD">
      <w:pPr>
        <w:spacing w:line="360" w:lineRule="auto"/>
      </w:pPr>
    </w:p>
    <w:p w:rsidR="00021E67" w:rsidRDefault="00021E67" w:rsidP="00E409BD">
      <w:pPr>
        <w:spacing w:line="360" w:lineRule="auto"/>
      </w:pPr>
      <w:r>
        <w:t xml:space="preserve">The reason for </w:t>
      </w:r>
      <w:r w:rsidR="00C93189">
        <w:t>our</w:t>
      </w:r>
      <w:r>
        <w:t xml:space="preserve"> intuition is that there seems to be an arbitrage profit if the equations [6] and [7] do not hold.  So the reason for the empirical failure must be that there is some obstacle to doing the arbitrage.  As indeed there is, but that obstacle is hard to see in standard theory.  From a money view standpoint however it is almost obvious.</w:t>
      </w:r>
      <w:r w:rsidR="00A71F94">
        <w:t xml:space="preserve">  The obstacle is exposure to liquidity risk.</w:t>
      </w:r>
    </w:p>
    <w:p w:rsidR="00FC2D1C" w:rsidRDefault="00A71F94" w:rsidP="00E409BD">
      <w:pPr>
        <w:spacing w:line="360" w:lineRule="auto"/>
      </w:pPr>
      <w:r>
        <w:t>For example, consider a trader who is attempting to profit from the empirical failure of the expectations hypothesis.  She will be borrowing short and lending long, which involves deliberate mismatch of anticipated future cash inflows and outflows, specifically committing to the near term cash outflow without at the same time arranging for a contemporaneous offsetting cash inflow.  And consider a trader who is attempting to profit from the empirical failure of uncovered interest parity.  She will be borrowing in the lower interest rate currency and lending in the high interest rate currency, again deliberately mismatching anticipate future cash inflows and outflows, specifically committing to an outflow in one currency without at the same time arrangement for a contemporaneous inflow in the same currency.</w:t>
      </w:r>
    </w:p>
    <w:p w:rsidR="004B4702" w:rsidRDefault="004B4702" w:rsidP="00E409BD">
      <w:pPr>
        <w:spacing w:line="360" w:lineRule="auto"/>
      </w:pPr>
      <w:r>
        <w:t xml:space="preserve">The point is that in both cases the </w:t>
      </w:r>
      <w:r w:rsidR="00A71F94">
        <w:t>empirical pattern of asset prices</w:t>
      </w:r>
      <w:r>
        <w:t xml:space="preserve"> can be understood as</w:t>
      </w:r>
      <w:r w:rsidR="00A71F94">
        <w:t xml:space="preserve"> reflecting</w:t>
      </w:r>
      <w:r>
        <w:t xml:space="preserve"> a liquidity premium, harvested by dealers making markets</w:t>
      </w:r>
      <w:r w:rsidR="000679E0">
        <w:t xml:space="preserve"> (Mehrling 2013)</w:t>
      </w:r>
      <w:r>
        <w:t>.</w:t>
      </w:r>
      <w:r w:rsidR="000679E0">
        <w:t xml:space="preserve">  The pattern of asset price</w:t>
      </w:r>
      <w:r w:rsidR="00021E67">
        <w:t xml:space="preserve"> anomalie</w:t>
      </w:r>
      <w:r w:rsidR="000679E0">
        <w:t>s is not evidence of some unexploited arbitrage profit, i.e. market inefficiency, but rather of ma</w:t>
      </w:r>
      <w:r w:rsidR="00022F73">
        <w:t>rket pricing</w:t>
      </w:r>
      <w:r w:rsidR="000679E0">
        <w:t xml:space="preserve"> of some unrecognized (by economic theory) risk, namely liquidity risk.</w:t>
      </w:r>
      <w:r w:rsidR="00C93189">
        <w:t xml:space="preserve">  That price is harvested by anyone taking a naked forward position, </w:t>
      </w:r>
      <w:r w:rsidR="00A71F94">
        <w:t>so offering</w:t>
      </w:r>
      <w:r w:rsidR="00C93189">
        <w:t xml:space="preserve"> some counterparty the ability to lock in a future price of money, at the risk that when that moment arises the actual spot price of money will be something different.  The trade has expected positive profit—that’s the price of liquidity—but actual profit may well be negative.</w:t>
      </w:r>
    </w:p>
    <w:p w:rsidR="00C93189" w:rsidRDefault="00C93189" w:rsidP="00E409BD">
      <w:pPr>
        <w:spacing w:line="360" w:lineRule="auto"/>
      </w:pPr>
    </w:p>
    <w:p w:rsidR="00A71F94" w:rsidRDefault="00A71F94" w:rsidP="00E409BD">
      <w:pPr>
        <w:spacing w:line="360" w:lineRule="auto"/>
        <w:rPr>
          <w:b/>
          <w:sz w:val="28"/>
          <w:szCs w:val="28"/>
        </w:rPr>
      </w:pPr>
    </w:p>
    <w:p w:rsidR="00EC4E26" w:rsidRPr="00C93189" w:rsidRDefault="00C93189" w:rsidP="00E409BD">
      <w:pPr>
        <w:spacing w:line="360" w:lineRule="auto"/>
        <w:rPr>
          <w:b/>
          <w:sz w:val="28"/>
          <w:szCs w:val="28"/>
        </w:rPr>
      </w:pPr>
      <w:r w:rsidRPr="00C93189">
        <w:rPr>
          <w:b/>
          <w:sz w:val="28"/>
          <w:szCs w:val="28"/>
        </w:rPr>
        <w:t>Funding</w:t>
      </w:r>
    </w:p>
    <w:p w:rsidR="00C93189" w:rsidRDefault="00C93189" w:rsidP="00C93189">
      <w:pPr>
        <w:spacing w:line="360" w:lineRule="auto"/>
      </w:pPr>
      <w:r>
        <w:t xml:space="preserve">I have emphasized the </w:t>
      </w:r>
      <w:r w:rsidR="00021B58">
        <w:t xml:space="preserve">importance of money markets (funding liquidity) and capital markets (market liquidity) as ways </w:t>
      </w:r>
      <w:r>
        <w:t>to relax the settlement constraint, which confronts each country as the balance of payments constraint</w:t>
      </w:r>
      <w:r w:rsidR="00021B58">
        <w:t>.  Depending on where you are in the hierarchy, m</w:t>
      </w:r>
      <w:r>
        <w:t>oney and capital markets are more or less available for that purpose.  But it is important to emphasize that that is not the only role</w:t>
      </w:r>
      <w:r w:rsidR="00A71F94">
        <w:t xml:space="preserve"> of these markets</w:t>
      </w:r>
      <w:r>
        <w:t>.</w:t>
      </w:r>
    </w:p>
    <w:p w:rsidR="00C93189" w:rsidRDefault="00C93189" w:rsidP="00C93189">
      <w:pPr>
        <w:spacing w:line="360" w:lineRule="auto"/>
      </w:pPr>
      <w:r>
        <w:t>Indeed, one of the most important consequences of the Global Financial Crisis was to open world money and capital markets to the Global South.  Faced with a Zero Interest Rate Policy in the North, the search for positive yield</w:t>
      </w:r>
      <w:r w:rsidR="00FC2D1C">
        <w:t xml:space="preserve"> by wealth holders in the North</w:t>
      </w:r>
      <w:r>
        <w:t xml:space="preserve"> led to quite substantial credit expansion in the South, largely denominated in dollars.  Some of this no doubt merely relaxed settlement constraints temporarily, but a substantial portion was longer term and so possibly funded economic development.  The diagram below draws on Kindleberger’s concept of a life cycle of economic development that shows up in changing patterns of cash flow, in and out.  Reference Table 2, which shows borrowing by the South and accumulation by the North, with the offshore dollar system </w:t>
      </w:r>
      <w:r w:rsidR="00021B58">
        <w:t>fulfilling</w:t>
      </w:r>
      <w:r>
        <w:t xml:space="preserve"> the “bank of the world” function that the United States unilaterally rejected back in 1971.  </w:t>
      </w:r>
    </w:p>
    <w:p w:rsidR="00C93189" w:rsidRDefault="00C93189" w:rsidP="00C93189">
      <w:pPr>
        <w:spacing w:line="360" w:lineRule="auto"/>
      </w:pPr>
      <w:r w:rsidRPr="005D2EF2">
        <w:rPr>
          <w:noProof/>
        </w:rPr>
        <w:drawing>
          <wp:inline distT="0" distB="0" distL="0" distR="0" wp14:anchorId="5FC70370" wp14:editId="70DBD519">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rsidR="00F14F63" w:rsidRDefault="00F14F63" w:rsidP="00C93189">
      <w:pPr>
        <w:spacing w:line="360" w:lineRule="auto"/>
      </w:pPr>
    </w:p>
    <w:p w:rsidR="00C93189" w:rsidRDefault="00FC2D1C" w:rsidP="00C93189">
      <w:pPr>
        <w:spacing w:line="360" w:lineRule="auto"/>
      </w:pPr>
      <w:r>
        <w:t>Note well that w</w:t>
      </w:r>
      <w:r w:rsidR="00F14F63">
        <w:t>hen we say that a young debtor country is borrowing, that does not exclude the possibility that it is also lending by accumulating foreign reserve holdings, i.e. hoarding money, and the same goes for everyone else as well.</w:t>
      </w:r>
      <w:r w:rsidR="00BD1910">
        <w:t xml:space="preserve">  More generally, gross financial flows are an order of magnitude larger than net and this is important because it is gross exposure that determines liquidity risk.  It is the gross maturing promises to pay </w:t>
      </w:r>
      <w:r w:rsidR="005F7669">
        <w:t>(cash outflows) for which each country is responsible, and must anticipate meeting even if anticipated cash inflows do not materialize.  Just so, in Table 2, the EME is both borrowing and hoarding, and we do not specify which is the larger number so that in principle the current account could be either surplus or deficit.  Similarly, Japan is both borrowing (short term) and accumulating (long term), while France is both accumulating (short term) and dishoarding.</w:t>
      </w:r>
    </w:p>
    <w:p w:rsidR="005F7669" w:rsidRDefault="005F7669" w:rsidP="00C93189">
      <w:pPr>
        <w:spacing w:line="360" w:lineRule="auto"/>
      </w:pPr>
      <w:r>
        <w:t>In all three cases</w:t>
      </w:r>
      <w:r w:rsidR="00FC2D1C">
        <w:t xml:space="preserve"> (EME, Japan, and France)</w:t>
      </w:r>
      <w:r>
        <w:t>, the motive for the gross</w:t>
      </w:r>
      <w:r w:rsidR="00E92156">
        <w:t xml:space="preserve"> flows is not so much the </w:t>
      </w:r>
      <w:r>
        <w:t>need to settle a current account deficit or surplus, but rather considerations of portfolio management, i.e. matching anticipated cash inflows and outflows</w:t>
      </w:r>
      <w:r w:rsidR="00E92156">
        <w:t xml:space="preserve"> in the future</w:t>
      </w:r>
      <w:r>
        <w:t>.  For our purposes, the important point in all of this is that interest rate</w:t>
      </w:r>
      <w:r w:rsidR="00021B58">
        <w:t>s</w:t>
      </w:r>
      <w:r>
        <w:t xml:space="preserve"> and asset prices are determined by the </w:t>
      </w:r>
      <w:r w:rsidR="00021B58">
        <w:t>global mix</w:t>
      </w:r>
      <w:r>
        <w:t xml:space="preserve"> of countries at different</w:t>
      </w:r>
      <w:r w:rsidR="00E92156">
        <w:t xml:space="preserve"> stages of economic development</w:t>
      </w:r>
      <w:r>
        <w:t xml:space="preserve"> and by their differing strategies of portfolio management</w:t>
      </w:r>
      <w:r w:rsidR="00E92156">
        <w:t>.  These</w:t>
      </w:r>
      <w:r>
        <w:t xml:space="preserve"> jointly </w:t>
      </w:r>
      <w:r w:rsidR="00E92156">
        <w:t>determine the</w:t>
      </w:r>
      <w:r>
        <w:t xml:space="preserve"> interface </w:t>
      </w:r>
      <w:r w:rsidR="00E92156">
        <w:t xml:space="preserve">of each country </w:t>
      </w:r>
      <w:r>
        <w:t>with the global monetary and financial system</w:t>
      </w:r>
      <w:r w:rsidR="00E92156">
        <w:t xml:space="preserve">, and it is the </w:t>
      </w:r>
      <w:r w:rsidR="00021B58">
        <w:t>global mix</w:t>
      </w:r>
      <w:r w:rsidR="00E92156">
        <w:t xml:space="preserve"> of these interfaces that determines global interest rates and asset prices</w:t>
      </w:r>
      <w:r>
        <w:t xml:space="preserve">.  </w:t>
      </w:r>
      <w:r w:rsidR="005B7EBB">
        <w:t>In the money view, w</w:t>
      </w:r>
      <w:r>
        <w:t xml:space="preserve">e think of </w:t>
      </w:r>
      <w:r w:rsidR="005B7EBB">
        <w:t xml:space="preserve">interest rates and </w:t>
      </w:r>
      <w:r>
        <w:t>asset prices as determined proximately by the economics of the dealer system, but behind the scenes is the outside spread which is determined by the larger ecosystem balance between countries at different stages of economic development.</w:t>
      </w:r>
    </w:p>
    <w:p w:rsidR="005F7669" w:rsidRDefault="005F7669" w:rsidP="00C93189">
      <w:pPr>
        <w:spacing w:line="360" w:lineRule="auto"/>
      </w:pPr>
      <w:r>
        <w:t xml:space="preserve">This same dynamic we imagine taking place inside individual countries as well.  Households have their own financial life cycle, borrowing when young, repaying and then accumulating during their middle years, and then liquidating in old age.  And so do businesses with start-ups operating on borrowed funds, and mature industries </w:t>
      </w:r>
      <w:r w:rsidR="00D02F1E">
        <w:t xml:space="preserve">paying out dividends as they yield the stage to others.  </w:t>
      </w:r>
      <w:r w:rsidR="007A1100">
        <w:t>Thus, i</w:t>
      </w:r>
      <w:r w:rsidR="00D02F1E">
        <w:t>nside each country there is an ecosystem of ultimate borrowers and lenders</w:t>
      </w:r>
      <w:r w:rsidR="00021B58">
        <w:t>,</w:t>
      </w:r>
      <w:r w:rsidR="00D02F1E">
        <w:t xml:space="preserve"> which then interfaces with the global ecosystem where prices are determined.  These global prices are then the facts that individual borrowers and lenders, households and businesses, take as given in their own life cycle financial journeys.</w:t>
      </w:r>
    </w:p>
    <w:p w:rsidR="00C93189" w:rsidRDefault="00C93189" w:rsidP="00C93189">
      <w:pPr>
        <w:spacing w:line="360" w:lineRule="auto"/>
      </w:pPr>
    </w:p>
    <w:p w:rsidR="00A71F94" w:rsidRDefault="00A71F94" w:rsidP="00D02F1E">
      <w:pPr>
        <w:spacing w:line="360" w:lineRule="auto"/>
        <w:rPr>
          <w:b/>
          <w:sz w:val="28"/>
          <w:szCs w:val="28"/>
        </w:rPr>
      </w:pPr>
    </w:p>
    <w:p w:rsidR="00A71F94" w:rsidRDefault="00A71F94" w:rsidP="00D02F1E">
      <w:pPr>
        <w:spacing w:line="360" w:lineRule="auto"/>
        <w:rPr>
          <w:b/>
          <w:sz w:val="28"/>
          <w:szCs w:val="28"/>
        </w:rPr>
      </w:pPr>
    </w:p>
    <w:p w:rsidR="00C93189" w:rsidRPr="00D02F1E" w:rsidRDefault="00D02F1E" w:rsidP="00D02F1E">
      <w:pPr>
        <w:spacing w:line="360" w:lineRule="auto"/>
        <w:rPr>
          <w:b/>
          <w:sz w:val="28"/>
          <w:szCs w:val="28"/>
        </w:rPr>
      </w:pPr>
      <w:r w:rsidRPr="00D02F1E">
        <w:rPr>
          <w:b/>
          <w:sz w:val="28"/>
          <w:szCs w:val="28"/>
        </w:rPr>
        <w:t>Financial Intermediation</w:t>
      </w:r>
    </w:p>
    <w:p w:rsidR="00D7447E" w:rsidRDefault="00D7447E" w:rsidP="00D02F1E">
      <w:pPr>
        <w:spacing w:line="360" w:lineRule="auto"/>
      </w:pPr>
      <w:r>
        <w:t xml:space="preserve">Gurley and Shaw </w:t>
      </w:r>
      <w:r w:rsidR="00A71F94">
        <w:t xml:space="preserve">(1960) </w:t>
      </w:r>
      <w:r>
        <w:t>were impressed by the variety of financial intermediation growing up during their time, esp</w:t>
      </w:r>
      <w:r w:rsidR="00D02F1E">
        <w:t>ecially insurance companies (which</w:t>
      </w:r>
      <w:r>
        <w:t xml:space="preserve"> held bonds against insurance liabilities) and pension funds (wh</w:t>
      </w:r>
      <w:r w:rsidR="00D02F1E">
        <w:t>ich</w:t>
      </w:r>
      <w:r>
        <w:t xml:space="preserve"> held equities against pension liabilities).  And they wanted to insist that banks were similarly financial intermediaries, holding loans against monetary liabilities.  Following them, we can adapt </w:t>
      </w:r>
      <w:r w:rsidR="00D02F1E">
        <w:t>Table 1</w:t>
      </w:r>
      <w:r>
        <w:t xml:space="preserve"> by separating the one big bank into a variety of different financial intermediaries as follows:</w:t>
      </w:r>
    </w:p>
    <w:p w:rsidR="00D02F1E" w:rsidRDefault="00D02F1E" w:rsidP="00D02F1E">
      <w:pPr>
        <w:spacing w:line="360" w:lineRule="auto"/>
      </w:pPr>
    </w:p>
    <w:p w:rsidR="00D02F1E" w:rsidRPr="00D02F1E" w:rsidRDefault="00D02F1E" w:rsidP="00D02F1E">
      <w:pPr>
        <w:spacing w:line="360" w:lineRule="auto"/>
        <w:jc w:val="center"/>
        <w:rPr>
          <w:b/>
        </w:rPr>
      </w:pPr>
      <w:r w:rsidRPr="00D02F1E">
        <w:rPr>
          <w:b/>
        </w:rPr>
        <w:t>Table 7</w:t>
      </w:r>
    </w:p>
    <w:p w:rsidR="00D7447E" w:rsidRDefault="00D7447E" w:rsidP="00D02F1E">
      <w:pPr>
        <w:spacing w:line="360" w:lineRule="auto"/>
        <w:ind w:left="720" w:firstLine="720"/>
      </w:pPr>
      <w:r>
        <w:t>Financial Intermediaries</w:t>
      </w:r>
      <w:r>
        <w:tab/>
      </w:r>
      <w:r>
        <w:tab/>
      </w:r>
      <w:r>
        <w:tab/>
      </w:r>
      <w:r>
        <w:tab/>
      </w:r>
      <w:r>
        <w:tab/>
        <w:t>Rest of World</w:t>
      </w:r>
    </w:p>
    <w:tbl>
      <w:tblPr>
        <w:tblStyle w:val="Grilledutableau"/>
        <w:tblW w:w="0" w:type="auto"/>
        <w:tblLook w:val="04A0" w:firstRow="1" w:lastRow="0" w:firstColumn="1" w:lastColumn="0" w:noHBand="0" w:noVBand="1"/>
      </w:tblPr>
      <w:tblGrid>
        <w:gridCol w:w="2337"/>
        <w:gridCol w:w="2337"/>
        <w:gridCol w:w="2338"/>
        <w:gridCol w:w="2338"/>
      </w:tblGrid>
      <w:tr w:rsidR="00D7447E" w:rsidTr="005F7669">
        <w:tc>
          <w:tcPr>
            <w:tcW w:w="2337" w:type="dxa"/>
          </w:tcPr>
          <w:p w:rsidR="00D7447E" w:rsidRDefault="00D7447E" w:rsidP="00D02F1E">
            <w:pPr>
              <w:spacing w:line="360" w:lineRule="auto"/>
            </w:pPr>
            <w:r>
              <w:t>Assets</w:t>
            </w:r>
          </w:p>
        </w:tc>
        <w:tc>
          <w:tcPr>
            <w:tcW w:w="2337" w:type="dxa"/>
          </w:tcPr>
          <w:p w:rsidR="00D7447E" w:rsidRDefault="00D7447E" w:rsidP="00D02F1E">
            <w:pPr>
              <w:spacing w:line="360" w:lineRule="auto"/>
            </w:pPr>
            <w:r>
              <w:t>Liabilities</w:t>
            </w:r>
          </w:p>
        </w:tc>
        <w:tc>
          <w:tcPr>
            <w:tcW w:w="2338" w:type="dxa"/>
          </w:tcPr>
          <w:p w:rsidR="00D7447E" w:rsidRDefault="00D7447E" w:rsidP="00D02F1E">
            <w:pPr>
              <w:spacing w:line="360" w:lineRule="auto"/>
            </w:pPr>
            <w:r>
              <w:t>Assets</w:t>
            </w:r>
          </w:p>
        </w:tc>
        <w:tc>
          <w:tcPr>
            <w:tcW w:w="2338" w:type="dxa"/>
          </w:tcPr>
          <w:p w:rsidR="00D7447E" w:rsidRDefault="00D7447E" w:rsidP="00D02F1E">
            <w:pPr>
              <w:spacing w:line="360" w:lineRule="auto"/>
            </w:pPr>
            <w:r>
              <w:t>Liabilities</w:t>
            </w:r>
          </w:p>
        </w:tc>
      </w:tr>
      <w:tr w:rsidR="00D7447E" w:rsidTr="005F7669">
        <w:tc>
          <w:tcPr>
            <w:tcW w:w="2337" w:type="dxa"/>
          </w:tcPr>
          <w:p w:rsidR="00D7447E" w:rsidRDefault="00D7447E" w:rsidP="00D02F1E">
            <w:pPr>
              <w:spacing w:line="360" w:lineRule="auto"/>
            </w:pPr>
          </w:p>
          <w:p w:rsidR="00D7447E" w:rsidRDefault="00D7447E" w:rsidP="00D02F1E">
            <w:pPr>
              <w:spacing w:line="360" w:lineRule="auto"/>
            </w:pPr>
            <w:r>
              <w:t>Short term lending</w:t>
            </w:r>
          </w:p>
          <w:p w:rsidR="00D7447E" w:rsidRDefault="00D7447E" w:rsidP="00D02F1E">
            <w:pPr>
              <w:spacing w:line="360" w:lineRule="auto"/>
            </w:pPr>
            <w:r>
              <w:t>Long term lending</w:t>
            </w:r>
          </w:p>
        </w:tc>
        <w:tc>
          <w:tcPr>
            <w:tcW w:w="2337" w:type="dxa"/>
          </w:tcPr>
          <w:p w:rsidR="00D7447E" w:rsidRDefault="00D7447E" w:rsidP="00D02F1E">
            <w:pPr>
              <w:spacing w:line="360" w:lineRule="auto"/>
            </w:pPr>
            <w:r>
              <w:t>Demand claims</w:t>
            </w:r>
          </w:p>
          <w:p w:rsidR="00D7447E" w:rsidRDefault="00D7447E" w:rsidP="00D02F1E">
            <w:pPr>
              <w:spacing w:line="360" w:lineRule="auto"/>
            </w:pPr>
          </w:p>
          <w:p w:rsidR="00E92156" w:rsidRDefault="00E92156" w:rsidP="00D02F1E">
            <w:pPr>
              <w:spacing w:line="360" w:lineRule="auto"/>
            </w:pPr>
            <w:r>
              <w:t>Bank equity</w:t>
            </w:r>
          </w:p>
        </w:tc>
        <w:tc>
          <w:tcPr>
            <w:tcW w:w="2338" w:type="dxa"/>
          </w:tcPr>
          <w:p w:rsidR="00D7447E" w:rsidRDefault="00D7447E" w:rsidP="00D02F1E">
            <w:pPr>
              <w:spacing w:line="360" w:lineRule="auto"/>
            </w:pPr>
            <w:r>
              <w:t>Demand Claims</w:t>
            </w:r>
          </w:p>
          <w:p w:rsidR="00D7447E" w:rsidRDefault="00D7447E" w:rsidP="00D02F1E">
            <w:pPr>
              <w:spacing w:line="360" w:lineRule="auto"/>
            </w:pPr>
          </w:p>
          <w:p w:rsidR="00D7447E" w:rsidRDefault="00D7447E" w:rsidP="00D02F1E">
            <w:pPr>
              <w:spacing w:line="360" w:lineRule="auto"/>
            </w:pPr>
            <w:r>
              <w:t>Bank equity</w:t>
            </w:r>
          </w:p>
        </w:tc>
        <w:tc>
          <w:tcPr>
            <w:tcW w:w="2338" w:type="dxa"/>
          </w:tcPr>
          <w:p w:rsidR="00D7447E" w:rsidRDefault="00D7447E" w:rsidP="00D02F1E">
            <w:pPr>
              <w:spacing w:line="360" w:lineRule="auto"/>
            </w:pPr>
          </w:p>
          <w:p w:rsidR="00D7447E" w:rsidRDefault="00D7447E" w:rsidP="00D02F1E">
            <w:pPr>
              <w:spacing w:line="360" w:lineRule="auto"/>
            </w:pPr>
            <w:r>
              <w:t>Short term borrowing</w:t>
            </w:r>
          </w:p>
          <w:p w:rsidR="00D7447E" w:rsidRDefault="00D7447E" w:rsidP="00D02F1E">
            <w:pPr>
              <w:spacing w:line="360" w:lineRule="auto"/>
            </w:pPr>
            <w:r>
              <w:t>Long term borrowing</w:t>
            </w:r>
          </w:p>
        </w:tc>
      </w:tr>
      <w:tr w:rsidR="00D7447E" w:rsidTr="005F7669">
        <w:tc>
          <w:tcPr>
            <w:tcW w:w="2337" w:type="dxa"/>
          </w:tcPr>
          <w:p w:rsidR="00D7447E" w:rsidRDefault="00D7447E" w:rsidP="00D02F1E">
            <w:pPr>
              <w:spacing w:line="360" w:lineRule="auto"/>
            </w:pPr>
            <w:r>
              <w:t>Long term lending</w:t>
            </w:r>
          </w:p>
        </w:tc>
        <w:tc>
          <w:tcPr>
            <w:tcW w:w="2337" w:type="dxa"/>
          </w:tcPr>
          <w:p w:rsidR="00D7447E" w:rsidRDefault="00D7447E" w:rsidP="00D02F1E">
            <w:pPr>
              <w:spacing w:line="360" w:lineRule="auto"/>
            </w:pPr>
            <w:r>
              <w:t>Insurance policies</w:t>
            </w:r>
          </w:p>
          <w:p w:rsidR="00E92156" w:rsidRDefault="00E92156" w:rsidP="00D02F1E">
            <w:pPr>
              <w:spacing w:line="360" w:lineRule="auto"/>
            </w:pPr>
            <w:r>
              <w:t>Insurance equity</w:t>
            </w:r>
          </w:p>
        </w:tc>
        <w:tc>
          <w:tcPr>
            <w:tcW w:w="2338" w:type="dxa"/>
          </w:tcPr>
          <w:p w:rsidR="00D7447E" w:rsidRDefault="00D7447E" w:rsidP="00D02F1E">
            <w:pPr>
              <w:spacing w:line="360" w:lineRule="auto"/>
            </w:pPr>
            <w:r>
              <w:t>Insurance policies</w:t>
            </w:r>
          </w:p>
          <w:p w:rsidR="00D7447E" w:rsidRDefault="00D7447E" w:rsidP="00D02F1E">
            <w:pPr>
              <w:spacing w:line="360" w:lineRule="auto"/>
            </w:pPr>
            <w:r>
              <w:t>Insurance equity</w:t>
            </w:r>
          </w:p>
        </w:tc>
        <w:tc>
          <w:tcPr>
            <w:tcW w:w="2338" w:type="dxa"/>
          </w:tcPr>
          <w:p w:rsidR="00D7447E" w:rsidRDefault="00D7447E" w:rsidP="00D02F1E">
            <w:pPr>
              <w:spacing w:line="360" w:lineRule="auto"/>
            </w:pPr>
            <w:r>
              <w:t>Long term borrowing</w:t>
            </w:r>
          </w:p>
        </w:tc>
      </w:tr>
      <w:tr w:rsidR="00D7447E" w:rsidTr="005F7669">
        <w:tc>
          <w:tcPr>
            <w:tcW w:w="2337" w:type="dxa"/>
          </w:tcPr>
          <w:p w:rsidR="00D7447E" w:rsidRDefault="00D7447E" w:rsidP="00D02F1E">
            <w:pPr>
              <w:spacing w:line="360" w:lineRule="auto"/>
            </w:pPr>
            <w:r>
              <w:t>Equities</w:t>
            </w:r>
          </w:p>
        </w:tc>
        <w:tc>
          <w:tcPr>
            <w:tcW w:w="2337" w:type="dxa"/>
          </w:tcPr>
          <w:p w:rsidR="00D7447E" w:rsidRDefault="00D7447E" w:rsidP="00D02F1E">
            <w:pPr>
              <w:spacing w:line="360" w:lineRule="auto"/>
            </w:pPr>
            <w:r>
              <w:t xml:space="preserve">Pension </w:t>
            </w:r>
            <w:r w:rsidR="00E92156">
              <w:t xml:space="preserve">DB </w:t>
            </w:r>
            <w:r>
              <w:t>liabilities</w:t>
            </w:r>
          </w:p>
          <w:p w:rsidR="00E92156" w:rsidRDefault="00E92156" w:rsidP="00D02F1E">
            <w:pPr>
              <w:spacing w:line="360" w:lineRule="auto"/>
            </w:pPr>
            <w:r>
              <w:t>Pension equity</w:t>
            </w:r>
          </w:p>
        </w:tc>
        <w:tc>
          <w:tcPr>
            <w:tcW w:w="2338" w:type="dxa"/>
          </w:tcPr>
          <w:p w:rsidR="00D7447E" w:rsidRDefault="00D7447E" w:rsidP="00D02F1E">
            <w:pPr>
              <w:spacing w:line="360" w:lineRule="auto"/>
            </w:pPr>
            <w:r>
              <w:t xml:space="preserve">Pension </w:t>
            </w:r>
            <w:r w:rsidR="00E92156">
              <w:t>DB assets</w:t>
            </w:r>
          </w:p>
          <w:p w:rsidR="00D7447E" w:rsidRDefault="00D7447E" w:rsidP="00D02F1E">
            <w:pPr>
              <w:spacing w:line="360" w:lineRule="auto"/>
            </w:pPr>
            <w:r>
              <w:t>Pension equity</w:t>
            </w:r>
          </w:p>
        </w:tc>
        <w:tc>
          <w:tcPr>
            <w:tcW w:w="2338" w:type="dxa"/>
          </w:tcPr>
          <w:p w:rsidR="00D7447E" w:rsidRDefault="00D7447E" w:rsidP="00D02F1E">
            <w:pPr>
              <w:spacing w:line="360" w:lineRule="auto"/>
            </w:pPr>
            <w:r>
              <w:t>Equities</w:t>
            </w:r>
          </w:p>
        </w:tc>
      </w:tr>
    </w:tbl>
    <w:p w:rsidR="00D7447E" w:rsidRDefault="00D7447E" w:rsidP="00D02F1E">
      <w:pPr>
        <w:spacing w:line="360" w:lineRule="auto"/>
      </w:pPr>
    </w:p>
    <w:p w:rsidR="00E92156" w:rsidRDefault="00D7447E" w:rsidP="00D02F1E">
      <w:pPr>
        <w:spacing w:line="360" w:lineRule="auto"/>
      </w:pPr>
      <w:r>
        <w:t xml:space="preserve">Here the first line is banking, the second insurance, and the third pensions.  </w:t>
      </w:r>
    </w:p>
    <w:p w:rsidR="00D7447E" w:rsidRDefault="00D7447E" w:rsidP="00D02F1E">
      <w:pPr>
        <w:spacing w:line="360" w:lineRule="auto"/>
      </w:pPr>
      <w:r>
        <w:t>The r</w:t>
      </w:r>
      <w:r w:rsidR="00A71F94">
        <w:t>ise of</w:t>
      </w:r>
      <w:r>
        <w:t xml:space="preserve"> modern financ</w:t>
      </w:r>
      <w:r w:rsidR="00A71F94">
        <w:t xml:space="preserve">ial theory, in the years after Gurley and Shaw were writing, </w:t>
      </w:r>
      <w:r>
        <w:t>made people realize that intermediaries which offered different risk exposures to their creditors and their debtors were in fact simply shifting the difference to their equity holders.  One of the consequence</w:t>
      </w:r>
      <w:r w:rsidR="005B7EBB">
        <w:t>s</w:t>
      </w:r>
      <w:r>
        <w:t xml:space="preserve"> of that re</w:t>
      </w:r>
      <w:r w:rsidR="00A71F94">
        <w:t>alization</w:t>
      </w:r>
      <w:r>
        <w:t xml:space="preserve"> was the rise of the mutual fund, which pas</w:t>
      </w:r>
      <w:r w:rsidR="007A1100">
        <w:t xml:space="preserve">sed </w:t>
      </w:r>
      <w:r>
        <w:t>risk through</w:t>
      </w:r>
      <w:r w:rsidR="007A1100">
        <w:t xml:space="preserve"> more transparently</w:t>
      </w:r>
      <w:r>
        <w:t xml:space="preserve">.  </w:t>
      </w:r>
      <w:r w:rsidR="007A1100">
        <w:t>Just so, m</w:t>
      </w:r>
      <w:r>
        <w:t>oney market mutual funds, bond mutual funds, and equity mutual funds arose to compete with traditional banks, insurance companies, and pension funds.</w:t>
      </w:r>
      <w:r w:rsidR="00E92156">
        <w:t xml:space="preserve">  </w:t>
      </w:r>
      <w:r w:rsidR="0090426D">
        <w:t>Similarly t</w:t>
      </w:r>
      <w:r w:rsidR="00E92156">
        <w:t>erm insurance policies rose relative to so-called whole life policies</w:t>
      </w:r>
      <w:r w:rsidR="0090426D">
        <w:t>, a</w:t>
      </w:r>
      <w:r w:rsidR="00E92156">
        <w:t>nd defined contribution pension plans rose relative to defined benefit</w:t>
      </w:r>
      <w:r w:rsidR="007A1100">
        <w:t xml:space="preserve"> pension plans</w:t>
      </w:r>
      <w:r w:rsidR="00E92156">
        <w:t>.</w:t>
      </w:r>
    </w:p>
    <w:p w:rsidR="00D02F1E" w:rsidRDefault="00D02F1E" w:rsidP="00D02F1E">
      <w:pPr>
        <w:spacing w:line="360" w:lineRule="auto"/>
      </w:pPr>
    </w:p>
    <w:p w:rsidR="00D7447E" w:rsidRDefault="00D7447E" w:rsidP="00D02F1E">
      <w:pPr>
        <w:spacing w:line="360" w:lineRule="auto"/>
        <w:ind w:left="720" w:firstLine="720"/>
      </w:pPr>
      <w:r>
        <w:t>Financial Intermediaries</w:t>
      </w:r>
      <w:r>
        <w:tab/>
      </w:r>
      <w:r>
        <w:tab/>
      </w:r>
      <w:r>
        <w:tab/>
      </w:r>
      <w:r>
        <w:tab/>
      </w:r>
      <w:r>
        <w:tab/>
        <w:t>Rest of World</w:t>
      </w:r>
    </w:p>
    <w:tbl>
      <w:tblPr>
        <w:tblStyle w:val="Grilledutableau"/>
        <w:tblW w:w="0" w:type="auto"/>
        <w:tblLook w:val="04A0" w:firstRow="1" w:lastRow="0" w:firstColumn="1" w:lastColumn="0" w:noHBand="0" w:noVBand="1"/>
      </w:tblPr>
      <w:tblGrid>
        <w:gridCol w:w="2337"/>
        <w:gridCol w:w="2337"/>
        <w:gridCol w:w="2338"/>
        <w:gridCol w:w="2338"/>
      </w:tblGrid>
      <w:tr w:rsidR="00D7447E" w:rsidTr="005F7669">
        <w:tc>
          <w:tcPr>
            <w:tcW w:w="2337" w:type="dxa"/>
          </w:tcPr>
          <w:p w:rsidR="00D7447E" w:rsidRDefault="00D7447E" w:rsidP="00D02F1E">
            <w:pPr>
              <w:spacing w:line="360" w:lineRule="auto"/>
            </w:pPr>
            <w:r>
              <w:t>Assets</w:t>
            </w:r>
          </w:p>
        </w:tc>
        <w:tc>
          <w:tcPr>
            <w:tcW w:w="2337" w:type="dxa"/>
          </w:tcPr>
          <w:p w:rsidR="00D7447E" w:rsidRDefault="00D7447E" w:rsidP="00D02F1E">
            <w:pPr>
              <w:spacing w:line="360" w:lineRule="auto"/>
            </w:pPr>
            <w:r>
              <w:t>Liabilities</w:t>
            </w:r>
          </w:p>
        </w:tc>
        <w:tc>
          <w:tcPr>
            <w:tcW w:w="2338" w:type="dxa"/>
          </w:tcPr>
          <w:p w:rsidR="00D7447E" w:rsidRDefault="00D7447E" w:rsidP="00D02F1E">
            <w:pPr>
              <w:spacing w:line="360" w:lineRule="auto"/>
            </w:pPr>
            <w:r>
              <w:t>Assets</w:t>
            </w:r>
          </w:p>
        </w:tc>
        <w:tc>
          <w:tcPr>
            <w:tcW w:w="2338" w:type="dxa"/>
          </w:tcPr>
          <w:p w:rsidR="00D7447E" w:rsidRDefault="00D7447E" w:rsidP="00D02F1E">
            <w:pPr>
              <w:spacing w:line="360" w:lineRule="auto"/>
            </w:pPr>
            <w:r>
              <w:t>Liabilities</w:t>
            </w:r>
          </w:p>
        </w:tc>
      </w:tr>
      <w:tr w:rsidR="00D7447E" w:rsidTr="005F7669">
        <w:tc>
          <w:tcPr>
            <w:tcW w:w="2337" w:type="dxa"/>
          </w:tcPr>
          <w:p w:rsidR="00D7447E" w:rsidRDefault="00D7447E" w:rsidP="00D02F1E">
            <w:pPr>
              <w:spacing w:line="360" w:lineRule="auto"/>
            </w:pPr>
            <w:r>
              <w:t>Short term lending</w:t>
            </w:r>
          </w:p>
        </w:tc>
        <w:tc>
          <w:tcPr>
            <w:tcW w:w="2337" w:type="dxa"/>
          </w:tcPr>
          <w:p w:rsidR="00D7447E" w:rsidRDefault="00D7447E" w:rsidP="00D02F1E">
            <w:pPr>
              <w:spacing w:line="360" w:lineRule="auto"/>
            </w:pPr>
            <w:r>
              <w:t>MMMF shares</w:t>
            </w:r>
          </w:p>
        </w:tc>
        <w:tc>
          <w:tcPr>
            <w:tcW w:w="2338" w:type="dxa"/>
          </w:tcPr>
          <w:p w:rsidR="00D7447E" w:rsidRDefault="00D7447E" w:rsidP="00D02F1E">
            <w:pPr>
              <w:spacing w:line="360" w:lineRule="auto"/>
            </w:pPr>
            <w:r>
              <w:t>MMMF shares</w:t>
            </w:r>
          </w:p>
        </w:tc>
        <w:tc>
          <w:tcPr>
            <w:tcW w:w="2338" w:type="dxa"/>
          </w:tcPr>
          <w:p w:rsidR="00D7447E" w:rsidRDefault="00D7447E" w:rsidP="00D02F1E">
            <w:pPr>
              <w:spacing w:line="360" w:lineRule="auto"/>
            </w:pPr>
            <w:r>
              <w:t>Short term borrowing</w:t>
            </w:r>
          </w:p>
        </w:tc>
      </w:tr>
      <w:tr w:rsidR="00D7447E" w:rsidTr="005F7669">
        <w:tc>
          <w:tcPr>
            <w:tcW w:w="2337" w:type="dxa"/>
          </w:tcPr>
          <w:p w:rsidR="00D7447E" w:rsidRDefault="00D7447E" w:rsidP="00D02F1E">
            <w:pPr>
              <w:spacing w:line="360" w:lineRule="auto"/>
            </w:pPr>
            <w:r>
              <w:t>Long term lending</w:t>
            </w:r>
          </w:p>
        </w:tc>
        <w:tc>
          <w:tcPr>
            <w:tcW w:w="2337" w:type="dxa"/>
          </w:tcPr>
          <w:p w:rsidR="00D7447E" w:rsidRDefault="00D7447E" w:rsidP="00D02F1E">
            <w:pPr>
              <w:spacing w:line="360" w:lineRule="auto"/>
            </w:pPr>
            <w:r>
              <w:t>Bond fund shares</w:t>
            </w:r>
          </w:p>
        </w:tc>
        <w:tc>
          <w:tcPr>
            <w:tcW w:w="2338" w:type="dxa"/>
          </w:tcPr>
          <w:p w:rsidR="00D7447E" w:rsidRDefault="00D7447E" w:rsidP="00D02F1E">
            <w:pPr>
              <w:spacing w:line="360" w:lineRule="auto"/>
            </w:pPr>
            <w:r>
              <w:t>Bond fund shares</w:t>
            </w:r>
          </w:p>
        </w:tc>
        <w:tc>
          <w:tcPr>
            <w:tcW w:w="2338" w:type="dxa"/>
          </w:tcPr>
          <w:p w:rsidR="00D7447E" w:rsidRDefault="00D7447E" w:rsidP="00D02F1E">
            <w:pPr>
              <w:spacing w:line="360" w:lineRule="auto"/>
            </w:pPr>
            <w:r>
              <w:t>Long term borrowing</w:t>
            </w:r>
          </w:p>
        </w:tc>
      </w:tr>
      <w:tr w:rsidR="00D7447E" w:rsidTr="005F7669">
        <w:tc>
          <w:tcPr>
            <w:tcW w:w="2337" w:type="dxa"/>
          </w:tcPr>
          <w:p w:rsidR="00D7447E" w:rsidRDefault="00D7447E" w:rsidP="00D02F1E">
            <w:pPr>
              <w:spacing w:line="360" w:lineRule="auto"/>
            </w:pPr>
            <w:r>
              <w:t>Equities</w:t>
            </w:r>
          </w:p>
        </w:tc>
        <w:tc>
          <w:tcPr>
            <w:tcW w:w="2337" w:type="dxa"/>
          </w:tcPr>
          <w:p w:rsidR="00D7447E" w:rsidRDefault="00D7447E" w:rsidP="00D02F1E">
            <w:pPr>
              <w:spacing w:line="360" w:lineRule="auto"/>
            </w:pPr>
            <w:r>
              <w:t>Stock fund shares</w:t>
            </w:r>
          </w:p>
        </w:tc>
        <w:tc>
          <w:tcPr>
            <w:tcW w:w="2338" w:type="dxa"/>
          </w:tcPr>
          <w:p w:rsidR="00D7447E" w:rsidRDefault="00D7447E" w:rsidP="00D02F1E">
            <w:pPr>
              <w:spacing w:line="360" w:lineRule="auto"/>
            </w:pPr>
            <w:r>
              <w:t>Stock fund shares</w:t>
            </w:r>
          </w:p>
        </w:tc>
        <w:tc>
          <w:tcPr>
            <w:tcW w:w="2338" w:type="dxa"/>
          </w:tcPr>
          <w:p w:rsidR="00D7447E" w:rsidRDefault="00D7447E" w:rsidP="00D02F1E">
            <w:pPr>
              <w:spacing w:line="360" w:lineRule="auto"/>
            </w:pPr>
            <w:r>
              <w:t>Equities</w:t>
            </w:r>
          </w:p>
        </w:tc>
      </w:tr>
    </w:tbl>
    <w:p w:rsidR="00D7447E" w:rsidRDefault="00D7447E" w:rsidP="00D02F1E">
      <w:pPr>
        <w:spacing w:line="360" w:lineRule="auto"/>
      </w:pPr>
    </w:p>
    <w:p w:rsidR="00D7447E" w:rsidRDefault="00D7447E" w:rsidP="00D02F1E">
      <w:pPr>
        <w:spacing w:line="360" w:lineRule="auto"/>
      </w:pPr>
      <w:r>
        <w:t>Here we see that this new kind of financial intermediary is more like direct finance than indirect finance, in the sense that the terms of its assets are directly passed through in the terms of its liabilities.  All the mutual fund does is</w:t>
      </w:r>
      <w:r w:rsidR="00E92156">
        <w:t xml:space="preserve"> to</w:t>
      </w:r>
      <w:r>
        <w:t xml:space="preserve"> provide diversification, perhaps some asset management, and perhaps easier entry and exit.  Note well however that, precisely because the mutual fund form passes everything through, it offers no opportunity for agents as a whole to offer different terms in their gross borrowing and gross lending, as banking (and insurance and pension funds) did.  </w:t>
      </w:r>
      <w:r w:rsidR="007A1100">
        <w:t xml:space="preserve">Mutual funds were about carving out the matched book in the one big bank.  </w:t>
      </w:r>
      <w:r>
        <w:t>You can</w:t>
      </w:r>
      <w:r w:rsidR="00E92156">
        <w:t xml:space="preserve"> carve out a lot of matched book</w:t>
      </w:r>
      <w:r>
        <w:t xml:space="preserve"> from the one big bank, but there is </w:t>
      </w:r>
      <w:r w:rsidR="0090426D">
        <w:t xml:space="preserve">always </w:t>
      </w:r>
      <w:r>
        <w:t>going to be something left.</w:t>
      </w:r>
      <w:r w:rsidR="0090426D">
        <w:t xml:space="preserve">  The reason is liquidity preference, a preference for locking in cash inflows in the short term and pushing off promised cash outflows to the longer term, a preference that arises from the settlement constraint.</w:t>
      </w:r>
    </w:p>
    <w:p w:rsidR="00E92156" w:rsidRDefault="00E92156" w:rsidP="00D02F1E">
      <w:pPr>
        <w:spacing w:line="360" w:lineRule="auto"/>
      </w:pPr>
      <w:r>
        <w:t xml:space="preserve">The relevance of all of this for our macroeconomic concerns comes from its importance for the capital funding channel of reflux.  Banks create credit by expanding their balance sheets on both sides, but the question then arises how this new credit will be funded.  Financial intermediation is all about answering that question.  </w:t>
      </w:r>
      <w:r w:rsidR="005B7EBB">
        <w:t xml:space="preserve">Multiplication of types of financial intermediation offers holders of newly created cash balances multiple uses for those new sources, </w:t>
      </w:r>
      <w:r w:rsidR="0090426D">
        <w:t xml:space="preserve">and so </w:t>
      </w:r>
      <w:r w:rsidR="005B7EBB">
        <w:t>multiple channels of reflux for the newly created flux.  Inevitably however liquidity preference means that wealthholders in general prefer to borrow longer than they lend, and that means that the financial infrastructure in general has to borrow shorter than it lends, shouldering the liquidity risk that wealthholders prefer to hedge.</w:t>
      </w:r>
    </w:p>
    <w:p w:rsidR="0090426D" w:rsidRDefault="005B7EBB" w:rsidP="0090426D">
      <w:pPr>
        <w:spacing w:line="360" w:lineRule="auto"/>
      </w:pPr>
      <w:r>
        <w:t xml:space="preserve">Here we find the origin of </w:t>
      </w:r>
      <w:r w:rsidR="00D7447E">
        <w:t>so-called shadow banking, which for present purposes we define as money market funding of capital market lending.</w:t>
      </w:r>
      <w:r>
        <w:t xml:space="preserve">  A newly created mortgage loan can be funded with </w:t>
      </w:r>
      <w:r w:rsidR="00AD658A">
        <w:t>a money market mutual fund share, and a newly created EME bond can be funded with Eurodollar deposits held as central bank reserves, for a price.  That price is the price of liquidity risk.</w:t>
      </w:r>
      <w:r w:rsidR="00D7447E">
        <w:t xml:space="preserve">  </w:t>
      </w:r>
    </w:p>
    <w:p w:rsidR="00D7447E" w:rsidRPr="0090426D" w:rsidRDefault="0090426D" w:rsidP="0090426D">
      <w:pPr>
        <w:spacing w:line="360" w:lineRule="auto"/>
        <w:rPr>
          <w:b/>
          <w:sz w:val="28"/>
          <w:szCs w:val="28"/>
        </w:rPr>
      </w:pPr>
      <w:r w:rsidRPr="0090426D">
        <w:rPr>
          <w:b/>
          <w:sz w:val="28"/>
          <w:szCs w:val="28"/>
        </w:rPr>
        <w:t>A monetary theory of interest</w:t>
      </w:r>
    </w:p>
    <w:p w:rsidR="0090426D" w:rsidRDefault="0090426D" w:rsidP="0090426D">
      <w:pPr>
        <w:spacing w:line="360" w:lineRule="auto"/>
      </w:pPr>
      <w:r>
        <w:t>The foregoing suggests that the settlement constraint systematically distorts asset prices relative to the standard equations [1]-[3].  In the money view, liquidity considerations are systemic factors, macroeconomic not just microeconomic, that factor into the structure of warranted asset prices, not just jiggles around that structure.  We have been thinking of dealers as a specific kind of speculator, specializing in profiting from deliberate exposure to liquidity risk, in effect selling the liquidity that everyone else wants to buy.  To do so, they promise specific time-dated cash outflows without at the same time arranging corresponding specific time-dated cash inflows, and they do it deliberately, on purpose.</w:t>
      </w:r>
    </w:p>
    <w:p w:rsidR="0090426D" w:rsidRDefault="0090426D" w:rsidP="0090426D">
      <w:pPr>
        <w:spacing w:line="360" w:lineRule="auto"/>
      </w:pPr>
      <w:r>
        <w:t xml:space="preserve">And then time happens.  Future promises become present cash commitments which need to be settled, and by construction present cash inflows are insufficient.  By construction, exposure to liquidity risk means a structural deficit at settlement, and there are logically only three ways to meet it:  dishoarding, borrowing, or liquidation.  By construction, borrowing is the </w:t>
      </w:r>
      <w:r w:rsidR="008055DE">
        <w:t>main anticipated means, since dishoarding would require excessive holding of reserves, and liquidation would involve excess exposure to fire sale price risk.</w:t>
      </w:r>
    </w:p>
    <w:p w:rsidR="008055DE" w:rsidRDefault="008055DE" w:rsidP="0090426D">
      <w:pPr>
        <w:spacing w:line="360" w:lineRule="auto"/>
      </w:pPr>
      <w:r>
        <w:t>Each day thus begins with maturing promises to pay that, by construction, need to be rolled over, but which rollover has not, by construction, yet been arranged.  The business of liquidity supply , which involves deliberate time mismatch of cash inflow and outflow, thus by construction involves a necessitous liquidity demand at the moment of settlement, every single day.  The overnight rate of interest is the price of putting off settlement to the next day, and in the money view it is a market price, a macroeconomic price, and a global price because settlement is ultimately global.</w:t>
      </w:r>
    </w:p>
    <w:p w:rsidR="008055DE" w:rsidRDefault="008055DE" w:rsidP="0090426D">
      <w:pPr>
        <w:spacing w:line="360" w:lineRule="auto"/>
      </w:pPr>
      <w:r>
        <w:t>In the money view, the overnight rate of interest is inherently a monetary phenomenon.  It is not about the time preference of households, nor the profit opportunities of firms, but rather about the pattern of deficits and surpluses showing up at settlement.  Deficit agents seek surplus agents, and agree on a price for pushing settlement to the next day.  That price is the overnight rate of interest.  In the money view, the overnight rate of interest is a kind of significant statistic  that summarizes the state of the economy-wide match between cash inflow and cash outflow.</w:t>
      </w:r>
    </w:p>
    <w:p w:rsidR="008055DE" w:rsidRDefault="008055DE" w:rsidP="0090426D">
      <w:pPr>
        <w:spacing w:line="360" w:lineRule="auto"/>
      </w:pPr>
      <w:r>
        <w:t xml:space="preserve">The overnight rate is about settlement, but its implication reverberate through the entire structure of asset prices, and hence throughout the entire economy at large.  If surplus agents are reluctant to lend, then deficit agents are forced to liquidate instead, so the mismatch moves asset prices more generally, not just the overnight rate.  More generally, overnight rates are transmitted to term rates in the money market by the dealers who are borrowing overnight and lending term.  And term rates are transmitted to asset prices in the capital market by dealers who are borrowing term in order to fund </w:t>
      </w:r>
      <w:r w:rsidR="004A05E3">
        <w:t>their holdings of capital assets.</w:t>
      </w:r>
    </w:p>
    <w:p w:rsidR="004A05E3" w:rsidRDefault="004A05E3" w:rsidP="0090426D">
      <w:pPr>
        <w:spacing w:line="360" w:lineRule="auto"/>
      </w:pPr>
      <w:r>
        <w:t xml:space="preserve">In the money view, all asset prices are fundamentally money prices, but that doesn’t mean that there is no “real” basis for them.  The point is that that “real” basis is only the outside spread, not the inside spread, and it is the inside spread that determines the prices we actually see in the world outside the window, the prices at which we actually can and do transact.  From this point of view, the economist’s impulse to focus attention on this “real” basis can understood as an attempt to put bounds on the volatility of realized price; that is exactly what the outside spread does.  The problem is that in practice these bounds turn out to be rather wider than might be hoped, leaving plenty of scope for volatility, disruption of dealer market-making activity, and hence fragility of the infrastructure so necessary for a market economy to function.  Here we find the origin of the desire, nay necessity, for management.  </w:t>
      </w:r>
    </w:p>
    <w:p w:rsidR="004A05E3" w:rsidRDefault="004A05E3" w:rsidP="0090426D">
      <w:pPr>
        <w:spacing w:line="360" w:lineRule="auto"/>
      </w:pPr>
      <w:r>
        <w:t>The point is that promises to pay are promises to pay cash which is the liability of a bank, ultimately a central bank, ultimately the central bank that issues the key currency.  Because of this, the central bank that issues the key currency can also serve as global lender of last resort; when deficit and surplus agents cannot find each other and agree on a price, they can meet instead on the balance sheet of the central bank which acts as intermediary between them.  The point to emphasize at this moment is that this backstop is not just a matter of crisis times, but also normal times, indeed the daily settlement.  The policy rate of the central bank creates the outside spread (for the Fed typically 50 basis points on either side) which puts bounds on the volatility of the overnight rate, which bounds then reverberate into the term money market and long term capital market.</w:t>
      </w:r>
      <w:r w:rsidR="00C82B8F">
        <w:t xml:space="preserve">  The ability of the central bank to influence the overnight rate is the source of its leverage over the economy as a whole.</w:t>
      </w:r>
    </w:p>
    <w:p w:rsidR="0090426D" w:rsidRDefault="00C82B8F" w:rsidP="00DA2331">
      <w:pPr>
        <w:spacing w:line="360" w:lineRule="auto"/>
      </w:pPr>
      <w:r>
        <w:t xml:space="preserve">Long ago, at the birth of macroeconomics, Knut Wicksell (1936) proposed an image of interaction between the money rate of interest and what he called the natural rate of interest.  In his construction, this interaction about the connection between nominal and real, and determined the course of the price level, inflation and deflation.  If the money rate is below the natural rate, the result is inflation; if the reverse, then deflation.  In the modern money view, we focus not so much on eventual effects on the price level of goods and services, but rather on the much more immediate effects on </w:t>
      </w:r>
      <w:r w:rsidR="00DA2331">
        <w:t>prices in money markets and capital markets, more immediate because of arbitrage and the central role of dealers in those markets in facilitating that arbitrage.</w:t>
      </w:r>
      <w:r w:rsidR="0090426D">
        <w:br w:type="page"/>
      </w:r>
    </w:p>
    <w:p w:rsidR="00682A12" w:rsidRPr="00C93189" w:rsidRDefault="00C93189" w:rsidP="00C93189">
      <w:pPr>
        <w:spacing w:line="360" w:lineRule="auto"/>
        <w:jc w:val="center"/>
        <w:rPr>
          <w:b/>
          <w:sz w:val="32"/>
          <w:szCs w:val="32"/>
        </w:rPr>
      </w:pPr>
      <w:r w:rsidRPr="00C93189">
        <w:rPr>
          <w:b/>
          <w:sz w:val="32"/>
          <w:szCs w:val="32"/>
        </w:rPr>
        <w:t>Chapter 3:  Managing Money</w:t>
      </w:r>
    </w:p>
    <w:p w:rsidR="004422A9" w:rsidRDefault="004422A9" w:rsidP="00021B58">
      <w:pPr>
        <w:spacing w:line="360" w:lineRule="auto"/>
      </w:pPr>
      <w:r>
        <w:t xml:space="preserve">Instability is inherent, and so are certain mechanisms of stabilization as the system swings from elasticity to discipline and back again, from flux to reflux and back again.  But there is no particular reason to expect that these inherent fluctuations are optimal; indeed the stabilization mechanism seems empirically to be definitely suboptimal, as evidenced by asset bubbles on the way up and default cascades on the way down.  And even if these extremes could somehow be avoided, there is the additional problem that swings involve not only fluctuations in the quantities and prices of credit of various kinds, but also in aggregate income and employment which, under present political arrangements, inevitably leads to an interest in management.  Just so, </w:t>
      </w:r>
      <w:r w:rsidR="00DA2331">
        <w:t xml:space="preserve">although </w:t>
      </w:r>
      <w:r>
        <w:t>monetary economics</w:t>
      </w:r>
      <w:r w:rsidR="00DA2331">
        <w:t xml:space="preserve"> itself</w:t>
      </w:r>
      <w:r>
        <w:t xml:space="preserve"> has ancient roots in banking practice, the field of macroeconomics is relatively recent, having its origins in the managerial state.  </w:t>
      </w:r>
    </w:p>
    <w:p w:rsidR="00DA2331" w:rsidRDefault="004422A9" w:rsidP="00021B58">
      <w:pPr>
        <w:spacing w:line="360" w:lineRule="auto"/>
      </w:pPr>
      <w:r>
        <w:t xml:space="preserve">To fix ideas, we might date the origins of macroeconomics to the worldwide depression of the 1930s, and specifically to Keynes.  His </w:t>
      </w:r>
      <w:r w:rsidRPr="006611C2">
        <w:rPr>
          <w:u w:val="single"/>
        </w:rPr>
        <w:t>Treatise on Money</w:t>
      </w:r>
      <w:r>
        <w:t xml:space="preserve"> (1930) can be read as a culminating work of a previous age, while his </w:t>
      </w:r>
      <w:r w:rsidRPr="006611C2">
        <w:rPr>
          <w:u w:val="single"/>
        </w:rPr>
        <w:t>General Theory of Employment, Interest and Money</w:t>
      </w:r>
      <w:r>
        <w:t xml:space="preserve"> (1936) can be read as the seminal work of the subsequent age.  I mention Keynes advisedly, as his example shows</w:t>
      </w:r>
      <w:r w:rsidR="00DA2331">
        <w:t xml:space="preserve"> clearly that</w:t>
      </w:r>
      <w:r>
        <w:t xml:space="preserve"> macroeconomics was not in fact a genuinely new field, but rather built on the foundations of existing monetary economics (see Laidler 2010).  </w:t>
      </w:r>
      <w:r w:rsidR="00DA2331">
        <w:t>I</w:t>
      </w:r>
      <w:r>
        <w:t xml:space="preserve">n the </w:t>
      </w:r>
      <w:r w:rsidRPr="006611C2">
        <w:rPr>
          <w:u w:val="single"/>
        </w:rPr>
        <w:t>General Theory</w:t>
      </w:r>
      <w:r>
        <w:t xml:space="preserve"> </w:t>
      </w:r>
      <w:r w:rsidR="00DA2331">
        <w:t xml:space="preserve">however </w:t>
      </w:r>
      <w:r>
        <w:t xml:space="preserve">these foundations are not very much in evidence, so readers have tended to miss them, imagining that the Keynesian Revolution discarded rather than built on those foundations.  </w:t>
      </w:r>
    </w:p>
    <w:p w:rsidR="004422A9" w:rsidRDefault="00DA2331" w:rsidP="00021B58">
      <w:pPr>
        <w:spacing w:line="360" w:lineRule="auto"/>
      </w:pPr>
      <w:r>
        <w:t>A</w:t>
      </w:r>
      <w:r w:rsidR="004422A9">
        <w:t xml:space="preserve">s a consequence, later readers of the </w:t>
      </w:r>
      <w:r w:rsidR="004422A9" w:rsidRPr="007A1609">
        <w:rPr>
          <w:u w:val="single"/>
        </w:rPr>
        <w:t>General Theory</w:t>
      </w:r>
      <w:r w:rsidR="004422A9">
        <w:t xml:space="preserve"> tended not to appreciate its origins in monetary economics, </w:t>
      </w:r>
      <w:r>
        <w:t>and so</w:t>
      </w:r>
      <w:r w:rsidR="004422A9">
        <w:t xml:space="preserve"> emphasize</w:t>
      </w:r>
      <w:r>
        <w:t>d</w:t>
      </w:r>
      <w:r w:rsidR="004422A9">
        <w:t xml:space="preserve"> its discontinuity with the past.   “How to the Pay for the War” (Keynes 1940) became the iconic layman’s version, and postwar macroeconomics built on that, more or less ignoring the </w:t>
      </w:r>
      <w:r w:rsidR="004422A9" w:rsidRPr="007A1609">
        <w:rPr>
          <w:u w:val="single"/>
        </w:rPr>
        <w:t>Treatise</w:t>
      </w:r>
      <w:r w:rsidR="004422A9">
        <w:t xml:space="preserve">.  And why not?  The worldwide depression, and subsequent exigencies of war finance, had transformed the global monetary and financial system.   </w:t>
      </w:r>
      <w:r>
        <w:t>During the war, r</w:t>
      </w:r>
      <w:r w:rsidR="004422A9">
        <w:t xml:space="preserve">elations between countries were relations between states, not between banking systems, and </w:t>
      </w:r>
      <w:r>
        <w:t xml:space="preserve">then after the war </w:t>
      </w:r>
      <w:r w:rsidR="004422A9">
        <w:t>domestic banking systems simply shifted from one state finance priority (war) to the next (reconstruction).   For a long time, the Keynesian Cross seemed to be as much Keynes as anyone needed.</w:t>
      </w:r>
    </w:p>
    <w:p w:rsidR="004422A9" w:rsidRDefault="004422A9" w:rsidP="00021B58">
      <w:pPr>
        <w:spacing w:line="360" w:lineRule="auto"/>
      </w:pPr>
      <w:r>
        <w:t>And then, when postwar recovery eventually extended to private money markets and capital markets—say 1958 when European currencies returned to convertibility--academics looked back to Hicks (1937) and Modigliani (1944) for clues about how to add money to the picture, and so for a while IS-LM seemed to be all the Keynes anyone needed.  And then, when global capital flows restarted, we got Mundell-Fleming and the IS-LM-BP.  All of this I have called “monetary Walrasianism”, and all of it is subject to the so-called Hahn Problem, namely that the Arrow-Debreu formalization of Walrasian general equilibrium has no place in it for money (Hahn 1965, 1985), so monetary Walrasianism has no satisfactory foundation.  But policymakers need</w:t>
      </w:r>
      <w:r w:rsidR="00DA2331">
        <w:t>ed</w:t>
      </w:r>
      <w:r>
        <w:t xml:space="preserve"> something, and so economics supplied various things, pragmatism trumping analytical nicety. </w:t>
      </w:r>
    </w:p>
    <w:p w:rsidR="004422A9" w:rsidRDefault="007D76FC" w:rsidP="00021B58">
      <w:pPr>
        <w:spacing w:line="360" w:lineRule="auto"/>
      </w:pPr>
      <w:r>
        <w:t>For our purposes, t</w:t>
      </w:r>
      <w:r w:rsidR="004422A9">
        <w:t xml:space="preserve">he empirical failure of the expectations hypothesis, and also of uncovered interest parity, </w:t>
      </w:r>
      <w:r w:rsidR="00DA2331">
        <w:t>a</w:t>
      </w:r>
      <w:r w:rsidR="004422A9">
        <w:t>re orienting problems, since both go to the heart of the monetary transmission mechanism.  Central bankers have a lot of direct control over overnight interest rates, but economic behavior such as production and consumption takes place over a longer time horizon, and therefore responds to longer term prices</w:t>
      </w:r>
      <w:r>
        <w:t xml:space="preserve"> and exchange rates</w:t>
      </w:r>
      <w:r w:rsidR="004422A9">
        <w:t xml:space="preserve">.  EH and UIP are theories about </w:t>
      </w:r>
      <w:r>
        <w:t>those things</w:t>
      </w:r>
      <w:r w:rsidR="004422A9">
        <w:t>, but they seem not to hold empirically.  Why not?</w:t>
      </w:r>
    </w:p>
    <w:p w:rsidR="004422A9" w:rsidRDefault="004422A9" w:rsidP="00021B58">
      <w:pPr>
        <w:spacing w:line="360" w:lineRule="auto"/>
      </w:pPr>
      <w:r>
        <w:t>The standard answer seems to be about expectations and credibility.  Here is Blinder (1998, 61):</w:t>
      </w:r>
    </w:p>
    <w:p w:rsidR="004422A9" w:rsidRDefault="004422A9" w:rsidP="00021B58">
      <w:pPr>
        <w:spacing w:line="360" w:lineRule="auto"/>
        <w:ind w:left="720" w:right="720"/>
      </w:pPr>
      <w:r>
        <w:t>Finally, traders in financial markets—even those for long-term instruments—often behave as if they have ludicrously short time horizons, whereas maintaining a long term horizon is the essence of proper central banking….traders dealing with 30-year bonds behave as if they were trading, say, a one-year instrument.</w:t>
      </w:r>
    </w:p>
    <w:p w:rsidR="004422A9" w:rsidRDefault="004422A9" w:rsidP="00021B58">
      <w:pPr>
        <w:spacing w:line="360" w:lineRule="auto"/>
      </w:pPr>
      <w:r>
        <w:t xml:space="preserve">What concerns him in this passage is the high correlation between movements in short rates (one-year Treasury) and long rates (30 year Treasury).  If long rates are just the expectation of future short rates, then current short rates should not move </w:t>
      </w:r>
      <w:r w:rsidR="007D76FC">
        <w:t>current long rates</w:t>
      </w:r>
      <w:r>
        <w:t xml:space="preserve"> as much as they do.  The answer, so Blinder suggests, is for the central bank to provide a better anchor for long term expectations, through a credible inflation-fighting stance that markets project into the future.  </w:t>
      </w:r>
    </w:p>
    <w:p w:rsidR="004422A9" w:rsidRDefault="004422A9" w:rsidP="00021B58">
      <w:pPr>
        <w:spacing w:line="360" w:lineRule="auto"/>
      </w:pPr>
      <w:r>
        <w:t xml:space="preserve">In </w:t>
      </w:r>
      <w:r w:rsidR="007D76FC">
        <w:t>this way</w:t>
      </w:r>
      <w:r>
        <w:t xml:space="preserve">, standard economics </w:t>
      </w:r>
      <w:r w:rsidR="007D76FC">
        <w:t>interprets</w:t>
      </w:r>
      <w:r>
        <w:t xml:space="preserve"> </w:t>
      </w:r>
      <w:r w:rsidR="007D76FC">
        <w:t xml:space="preserve">the liquidity preference that comes from the settlement constraint as instead arising from </w:t>
      </w:r>
      <w:r>
        <w:t xml:space="preserve">irrationally short term expectations horizons.  </w:t>
      </w:r>
      <w:r w:rsidR="007D76FC">
        <w:t>And it follows that o</w:t>
      </w:r>
      <w:r>
        <w:t>ne of the goals of policy</w:t>
      </w:r>
      <w:r w:rsidR="007D76FC">
        <w:t xml:space="preserve"> should be</w:t>
      </w:r>
      <w:r>
        <w:t xml:space="preserve"> to shift private horizons longer term, </w:t>
      </w:r>
      <w:r w:rsidR="007D76FC">
        <w:t xml:space="preserve">as a way of </w:t>
      </w:r>
      <w:r>
        <w:t>reducing</w:t>
      </w:r>
      <w:r w:rsidR="007D76FC">
        <w:t xml:space="preserve"> the</w:t>
      </w:r>
      <w:r>
        <w:t xml:space="preserve"> short term volatility of long-term prices.  </w:t>
      </w:r>
      <w:r w:rsidR="007D76FC">
        <w:t>In this way of thinking, the f</w:t>
      </w:r>
      <w:r>
        <w:t xml:space="preserve">orward rates implied by current spot prices </w:t>
      </w:r>
      <w:r w:rsidRPr="007D76FC">
        <w:rPr>
          <w:u w:val="single"/>
        </w:rPr>
        <w:t>should</w:t>
      </w:r>
      <w:r>
        <w:t xml:space="preserve"> be unbiased predictors of future rates</w:t>
      </w:r>
      <w:r w:rsidR="007D76FC">
        <w:t>, both interest rates and exchange rates</w:t>
      </w:r>
      <w:r>
        <w:t xml:space="preserve">.  The fact that they are not is an indictment of the markets in which current spot prices are formed, a kind of market imperfection that policy can and should attempt to counter.  The price of liquidity should be zero, and maybe will be zero in some future world.  </w:t>
      </w:r>
    </w:p>
    <w:p w:rsidR="007D76FC" w:rsidRDefault="004422A9" w:rsidP="00021B58">
      <w:pPr>
        <w:spacing w:line="360" w:lineRule="auto"/>
      </w:pPr>
      <w:r>
        <w:t>In the money view, by contrast, we do not see liquidity preference as irrational.  The settlement constraint is a very real constraint on economic behavior, both today and looking forward, and agents are well-advised to take it into account.  Even more, the current price of promises to pay in the future is formed in dealer markets.  From a money view perspective, it is not at all surprising to find dealers treating 30-year bonds similarly to one-year bills.  For both instruments, the dealer’s problem is to find a bid-ask spread that produces an order flow that keeps their position inside their position limits.   It is the outside spread presumably that takes the longer view, but it is the inside spread that is the observable price</w:t>
      </w:r>
      <w:r w:rsidR="007D76FC">
        <w:t>, and the inside spread moves around depending on the position of profit-seeking dealers</w:t>
      </w:r>
      <w:r>
        <w:t xml:space="preserve">.  </w:t>
      </w:r>
    </w:p>
    <w:p w:rsidR="004422A9" w:rsidRDefault="004422A9" w:rsidP="00021B58">
      <w:pPr>
        <w:spacing w:line="360" w:lineRule="auto"/>
      </w:pPr>
      <w:r>
        <w:t xml:space="preserve">All of this leads to a somewhat different conception of monetary transmission, and hence also money management.  </w:t>
      </w:r>
      <w:r w:rsidR="007D76FC">
        <w:t>In the money view, t</w:t>
      </w:r>
      <w:r>
        <w:t xml:space="preserve">he price of liquidity is doing something macroeconomic, perhaps sometimes overdoing it on both the upside and </w:t>
      </w:r>
      <w:r w:rsidR="007D76FC">
        <w:t xml:space="preserve">also on </w:t>
      </w:r>
      <w:r>
        <w:t>the downside, but there is no reason to think that the price should be zero, or even could be zero in some future world.  But what should it be, and what are the implications for central bank ma</w:t>
      </w:r>
      <w:r w:rsidR="007D76FC">
        <w:t>nagement of the overnight rate?</w:t>
      </w:r>
    </w:p>
    <w:p w:rsidR="007D76FC" w:rsidRDefault="007D76FC" w:rsidP="00021B58">
      <w:pPr>
        <w:spacing w:line="360" w:lineRule="auto"/>
      </w:pPr>
    </w:p>
    <w:p w:rsidR="007D76FC" w:rsidRPr="007D76FC" w:rsidRDefault="007D76FC" w:rsidP="00021B58">
      <w:pPr>
        <w:spacing w:line="360" w:lineRule="auto"/>
        <w:rPr>
          <w:b/>
          <w:sz w:val="28"/>
          <w:szCs w:val="28"/>
        </w:rPr>
      </w:pPr>
      <w:r w:rsidRPr="007D76FC">
        <w:rPr>
          <w:b/>
          <w:sz w:val="28"/>
          <w:szCs w:val="28"/>
        </w:rPr>
        <w:t>The Central Bank as Hybrid</w:t>
      </w:r>
    </w:p>
    <w:p w:rsidR="0077694A" w:rsidRDefault="00EB226E" w:rsidP="00021B58">
      <w:pPr>
        <w:spacing w:line="360" w:lineRule="auto"/>
      </w:pPr>
      <w:r>
        <w:t xml:space="preserve">The money view brings in the state through its analysis of hybridity, and specifically the different forms </w:t>
      </w:r>
      <w:r w:rsidR="004D2290">
        <w:t xml:space="preserve">that </w:t>
      </w:r>
      <w:r>
        <w:t>hybridity takes depending on where you are in the hierarchy of international money.</w:t>
      </w:r>
      <w:r w:rsidR="00171FFD">
        <w:t xml:space="preserve">  Graph 2 presented earlier depicts the hierarchy, whic</w:t>
      </w:r>
      <w:r w:rsidR="00021E67">
        <w:t>h we now supplement with Graph 5</w:t>
      </w:r>
      <w:r w:rsidR="00171FFD">
        <w:t xml:space="preserve"> below showing the hierarchy of hybridity.</w:t>
      </w:r>
    </w:p>
    <w:p w:rsidR="00021B58" w:rsidRDefault="00021B58" w:rsidP="00021B58">
      <w:pPr>
        <w:spacing w:line="360" w:lineRule="auto"/>
      </w:pPr>
    </w:p>
    <w:p w:rsidR="00021B58" w:rsidRDefault="00021B58" w:rsidP="00021B58">
      <w:pPr>
        <w:spacing w:line="360" w:lineRule="auto"/>
      </w:pPr>
    </w:p>
    <w:p w:rsidR="00021B58" w:rsidRDefault="00021B58" w:rsidP="00021B58">
      <w:pPr>
        <w:spacing w:line="360" w:lineRule="auto"/>
      </w:pPr>
    </w:p>
    <w:p w:rsidR="00021B58" w:rsidRDefault="00021B58" w:rsidP="00021B58">
      <w:pPr>
        <w:spacing w:line="360" w:lineRule="auto"/>
      </w:pPr>
    </w:p>
    <w:p w:rsidR="00021B58" w:rsidRDefault="00021B58" w:rsidP="00021B58">
      <w:pPr>
        <w:spacing w:line="360" w:lineRule="auto"/>
      </w:pPr>
    </w:p>
    <w:p w:rsidR="00021B58" w:rsidRDefault="00021B58" w:rsidP="00021B58">
      <w:pPr>
        <w:spacing w:line="360" w:lineRule="auto"/>
      </w:pPr>
    </w:p>
    <w:p w:rsidR="00021E67" w:rsidRPr="00021E67" w:rsidRDefault="00021E67" w:rsidP="00E409BD">
      <w:pPr>
        <w:spacing w:line="360" w:lineRule="auto"/>
        <w:jc w:val="center"/>
        <w:rPr>
          <w:b/>
        </w:rPr>
      </w:pPr>
      <w:r w:rsidRPr="00021E67">
        <w:rPr>
          <w:b/>
        </w:rPr>
        <w:t>Graph 5</w:t>
      </w:r>
    </w:p>
    <w:p w:rsidR="00171FFD" w:rsidRDefault="00171FFD" w:rsidP="00E409BD">
      <w:pPr>
        <w:spacing w:line="360" w:lineRule="auto"/>
      </w:pPr>
      <w:r w:rsidRPr="00171FFD">
        <w:rPr>
          <w:noProof/>
        </w:rPr>
        <w:drawing>
          <wp:inline distT="0" distB="0" distL="0" distR="0" wp14:anchorId="4C3D90E8" wp14:editId="410687F8">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rsidR="00DD5688" w:rsidRDefault="00171FFD" w:rsidP="00E409BD">
      <w:pPr>
        <w:spacing w:line="360" w:lineRule="auto"/>
      </w:pPr>
      <w:r>
        <w:t xml:space="preserve">At the top is the USD, which importantly is largely a private liability of global banks which operate outside the United States as well as inside.  Have in mind here the Eurodollar and Eurobond markets, where the global prices of money and capital respectively are determined.  But even here the market is hybrid because domestically, inside the United States, the overnight rate of interest is determined as a matter of policy by the Fed.  </w:t>
      </w:r>
    </w:p>
    <w:p w:rsidR="00171FFD" w:rsidRDefault="009C06CE" w:rsidP="00E409BD">
      <w:pPr>
        <w:spacing w:line="360" w:lineRule="auto"/>
      </w:pPr>
      <w:r>
        <w:t>In principle</w:t>
      </w:r>
      <w:r w:rsidR="00DD5688">
        <w:t xml:space="preserve"> </w:t>
      </w:r>
      <w:r>
        <w:t>this</w:t>
      </w:r>
      <w:r w:rsidR="00C93189">
        <w:t xml:space="preserve"> overnight</w:t>
      </w:r>
      <w:r>
        <w:t xml:space="preserve"> rate could be private, and it is worth thinking a bit about how that would work</w:t>
      </w:r>
      <w:r w:rsidR="00021E67">
        <w:t>, if only as background for understanding why it is not in practice left to be determined privately</w:t>
      </w:r>
      <w:r>
        <w:t xml:space="preserve">.  </w:t>
      </w:r>
      <w:r w:rsidR="00021E67">
        <w:t>For this purpose</w:t>
      </w:r>
      <w:r>
        <w:t xml:space="preserve"> we need to bring back in the settlement constraint, introduced at the very start of this paper.</w:t>
      </w:r>
      <w:r w:rsidR="00021E67">
        <w:t xml:space="preserve">  There we saw that p</w:t>
      </w:r>
      <w:r>
        <w:t xml:space="preserve">rivate borrowing and asset liquidation are alternatives to </w:t>
      </w:r>
      <w:r w:rsidR="007E288B">
        <w:t xml:space="preserve">cash </w:t>
      </w:r>
      <w:r>
        <w:t>reserves as a way of meeting a binding settlement constraint, and that</w:t>
      </w:r>
      <w:r w:rsidR="00021E67">
        <w:t xml:space="preserve"> now</w:t>
      </w:r>
      <w:r>
        <w:t xml:space="preserve"> suggests that the associated prices of money are determined in part by the pattern of payments.  </w:t>
      </w:r>
      <w:r w:rsidR="00021E67">
        <w:t>Just so, w</w:t>
      </w:r>
      <w:r>
        <w:t xml:space="preserve">e said that the surplus agents need to be “convinced” to lend or buy by means of an attractive price, and that the banking system can use its power to create money to facilitate that process.  </w:t>
      </w:r>
    </w:p>
    <w:p w:rsidR="00DD5688" w:rsidRDefault="009C06CE" w:rsidP="00E409BD">
      <w:pPr>
        <w:spacing w:line="360" w:lineRule="auto"/>
      </w:pPr>
      <w:r>
        <w:t>Apparently the</w:t>
      </w:r>
      <w:r w:rsidR="00DD5688">
        <w:t xml:space="preserve">re is a Treynor model here, </w:t>
      </w:r>
      <w:r>
        <w:t>operating at the very short</w:t>
      </w:r>
      <w:r w:rsidR="007E288B">
        <w:t>est</w:t>
      </w:r>
      <w:r>
        <w:t xml:space="preserve"> end of the system, determining the price of delaying settlement, which is to</w:t>
      </w:r>
      <w:r w:rsidR="00021E67">
        <w:t xml:space="preserve"> say the overnight rate.   In </w:t>
      </w:r>
      <w:r>
        <w:t>financially developed economies banks operate as dealers in the payment system, creating and absorbing means of payment a</w:t>
      </w:r>
      <w:r w:rsidR="00DD5688">
        <w:t xml:space="preserve">s required, flux and reflux both.  As a consequence the market overnight rate (think Fed Funds in a previous time, RP today) fluctuates less than it otherwise would because of the banking system’s willingness and ability to absorb fluctuations in the pattern of payments on its own balance sheet.  </w:t>
      </w:r>
    </w:p>
    <w:p w:rsidR="00AC7025" w:rsidRDefault="00DD5688" w:rsidP="00E409BD">
      <w:pPr>
        <w:spacing w:line="360" w:lineRule="auto"/>
      </w:pPr>
      <w:r>
        <w:t>And always waiting in the wings is the central bank and its discount window, priced as a spread over the policy rate.  The fact that the central bank announces a policy rate may thus itself affect market rates, as profit seeking banks operate within the outside spread created by the Fed.  Or the central bank may itself intervene to supply or absorb reserves as needed to keep market rates in the vicinity of the policy rate.  Either way, the important thing to hold on</w:t>
      </w:r>
      <w:r w:rsidR="00021E67">
        <w:t xml:space="preserve"> </w:t>
      </w:r>
      <w:r>
        <w:t>to here is that the settlement constraint lies behind the determination of prices in both money markets and capital markets.</w:t>
      </w:r>
    </w:p>
    <w:p w:rsidR="00AC7025" w:rsidRDefault="00AC7025" w:rsidP="00E409BD">
      <w:pPr>
        <w:spacing w:line="360" w:lineRule="auto"/>
      </w:pPr>
      <w:r>
        <w:t xml:space="preserve">Given overnight rates, three-month money market rates and 10 year bond rates are determined in normal times by the operation of dealers in those markets.   Globally these are dollar markets.  Offshore Eurodollar and Eurobond markets are kept in the vicinity of onshore markets by arbitrage, with deviations operating to defend spot settlement at par between onshore and offshore.  </w:t>
      </w:r>
    </w:p>
    <w:p w:rsidR="007E288B" w:rsidRDefault="007E288B" w:rsidP="00E409BD">
      <w:pPr>
        <w:spacing w:line="360" w:lineRule="auto"/>
      </w:pPr>
      <w:r w:rsidRPr="007E288B">
        <w:rPr>
          <w:noProof/>
        </w:rPr>
        <w:drawing>
          <wp:inline distT="0" distB="0" distL="0" distR="0" wp14:anchorId="6C387E24" wp14:editId="36D7FD00">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rsidR="007E288B" w:rsidRDefault="007E288B" w:rsidP="00E409BD">
      <w:pPr>
        <w:spacing w:line="360" w:lineRule="auto"/>
      </w:pPr>
    </w:p>
    <w:p w:rsidR="00AC7025" w:rsidRDefault="00AC7025" w:rsidP="00E409BD">
      <w:pPr>
        <w:spacing w:line="360" w:lineRule="auto"/>
      </w:pPr>
      <w:r>
        <w:t>Things are different however farther down the hierarchy, even in the Global North.  Non-dollar money and capital markets are kept in the vicinity of dollar markets by arbitrage, but with the extra degree of freedom to allow spot exchange to absorb some of the pressure, not just forward prices.  Liquidity swaps between central banks</w:t>
      </w:r>
      <w:r w:rsidR="00021E67">
        <w:t xml:space="preserve"> also</w:t>
      </w:r>
      <w:r>
        <w:t xml:space="preserve"> establish an outside spread within which FX dealers operate.</w:t>
      </w:r>
    </w:p>
    <w:p w:rsidR="00B32F5E" w:rsidRDefault="00021E67" w:rsidP="00E409BD">
      <w:pPr>
        <w:spacing w:line="360" w:lineRule="auto"/>
      </w:pPr>
      <w:r>
        <w:t>And farther down, t</w:t>
      </w:r>
      <w:r w:rsidR="00AC7025">
        <w:t xml:space="preserve">he Global South relies much more on owned reserves, often held in money market instruments that need to be sold in order to </w:t>
      </w:r>
      <w:r w:rsidR="00B32F5E">
        <w:t xml:space="preserve">be spent.  Bilateral swaps, using these reserves as collateral, have </w:t>
      </w:r>
      <w:r>
        <w:t xml:space="preserve">in the past offered </w:t>
      </w:r>
      <w:r w:rsidR="00B32F5E">
        <w:t xml:space="preserve">a bit of elasticity.  </w:t>
      </w:r>
      <w:r>
        <w:t>M</w:t>
      </w:r>
      <w:r w:rsidR="00B32F5E">
        <w:t>ost recently the Fed has created the FIMA repo facility which accepts Treasury collateral for RP borrowing.</w:t>
      </w:r>
    </w:p>
    <w:p w:rsidR="00B32F5E" w:rsidRDefault="00B32F5E" w:rsidP="00E409BD">
      <w:pPr>
        <w:spacing w:line="360" w:lineRule="auto"/>
      </w:pPr>
      <w:r>
        <w:t>The figure below shows the present state of affairs</w:t>
      </w:r>
      <w:r w:rsidR="00E83680">
        <w:t xml:space="preserve"> with respect to the international lender of last resort</w:t>
      </w:r>
      <w:r>
        <w:t xml:space="preserve">, with the shaded area indicating the extent of </w:t>
      </w:r>
      <w:r w:rsidR="00E83680">
        <w:t>Fed support</w:t>
      </w:r>
      <w:r>
        <w:t xml:space="preserve"> at each leve</w:t>
      </w:r>
      <w:r w:rsidR="00E83680">
        <w:t xml:space="preserve">l of the system.   Note that </w:t>
      </w:r>
      <w:r>
        <w:t xml:space="preserve">we have added a Treynor diagram for the overnight rate, and </w:t>
      </w:r>
      <w:r w:rsidR="00E83680">
        <w:t xml:space="preserve">that we now </w:t>
      </w:r>
      <w:r>
        <w:t>quote the capital market in price terms, not yield.  The point to hold on</w:t>
      </w:r>
      <w:r w:rsidR="00E83680">
        <w:t xml:space="preserve"> </w:t>
      </w:r>
      <w:r>
        <w:t xml:space="preserve">to in all of </w:t>
      </w:r>
      <w:r w:rsidR="00E83680">
        <w:t>this is that US monetary policy is global monetary policy, transmitted from overnight to money markets and capital markets, and from dollar markets to non-dollar markets by the operations of dealers, both private and public.  Let me emphasize the latter.  In the money view we understand banks as money market dealers, and hence central banks as well.  The diagram shows normal times, when the Fed sets the overnight policy rate only, but otherwise makes an outside spread inside of which profit-seeking banks operate.</w:t>
      </w:r>
    </w:p>
    <w:p w:rsidR="00B32F5E" w:rsidRDefault="00B32F5E" w:rsidP="00E409BD">
      <w:pPr>
        <w:spacing w:line="360" w:lineRule="auto"/>
      </w:pPr>
      <w:r w:rsidRPr="00B32F5E">
        <w:rPr>
          <w:noProof/>
        </w:rPr>
        <w:drawing>
          <wp:inline distT="0" distB="0" distL="0" distR="0">
            <wp:extent cx="4813300" cy="6400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3300" cy="6400800"/>
                    </a:xfrm>
                    <a:prstGeom prst="rect">
                      <a:avLst/>
                    </a:prstGeom>
                    <a:noFill/>
                    <a:ln>
                      <a:noFill/>
                    </a:ln>
                  </pic:spPr>
                </pic:pic>
              </a:graphicData>
            </a:graphic>
          </wp:inline>
        </w:drawing>
      </w:r>
    </w:p>
    <w:p w:rsidR="00B32F5E" w:rsidRDefault="00B32F5E" w:rsidP="00E409BD">
      <w:pPr>
        <w:spacing w:line="360" w:lineRule="auto"/>
      </w:pPr>
    </w:p>
    <w:p w:rsidR="00CD4F4F" w:rsidRDefault="00CD4F4F" w:rsidP="00E409BD">
      <w:pPr>
        <w:spacing w:line="360" w:lineRule="auto"/>
      </w:pPr>
    </w:p>
    <w:p w:rsidR="00CD4F4F" w:rsidRDefault="00CD4F4F" w:rsidP="00E409BD">
      <w:pPr>
        <w:spacing w:line="360" w:lineRule="auto"/>
      </w:pPr>
    </w:p>
    <w:p w:rsidR="00CD4F4F" w:rsidRDefault="00CD4F4F" w:rsidP="00E409BD">
      <w:pPr>
        <w:spacing w:line="360" w:lineRule="auto"/>
      </w:pPr>
    </w:p>
    <w:p w:rsidR="00E83680" w:rsidRDefault="00E83680" w:rsidP="00E409BD">
      <w:pPr>
        <w:spacing w:line="360" w:lineRule="auto"/>
        <w:rPr>
          <w:b/>
        </w:rPr>
      </w:pPr>
      <w:r>
        <w:rPr>
          <w:b/>
        </w:rPr>
        <w:br w:type="page"/>
      </w:r>
    </w:p>
    <w:p w:rsidR="0077694A" w:rsidRPr="0077694A" w:rsidRDefault="0077694A" w:rsidP="003B4244">
      <w:pPr>
        <w:spacing w:line="360" w:lineRule="auto"/>
        <w:ind w:left="720" w:hanging="720"/>
        <w:rPr>
          <w:b/>
        </w:rPr>
      </w:pPr>
      <w:r w:rsidRPr="0077694A">
        <w:rPr>
          <w:b/>
        </w:rPr>
        <w:t>References</w:t>
      </w:r>
    </w:p>
    <w:p w:rsidR="00241C10" w:rsidRPr="003B4244" w:rsidRDefault="00241C10" w:rsidP="003B4244">
      <w:pPr>
        <w:spacing w:line="360" w:lineRule="auto"/>
        <w:ind w:left="720" w:hanging="720"/>
        <w:rPr>
          <w:rFonts w:cstheme="minorHAnsi"/>
        </w:rPr>
      </w:pPr>
      <w:r w:rsidRPr="003B4244">
        <w:rPr>
          <w:rFonts w:cstheme="minorHAnsi"/>
        </w:rPr>
        <w:t>Aldasoro, Avdjiev, Borio and Disyatat.  2020.  “Global and Domestic Finance Cycles:  variations on a theme</w:t>
      </w:r>
      <w:r w:rsidR="00CB332F">
        <w:rPr>
          <w:rFonts w:cstheme="minorHAnsi"/>
        </w:rPr>
        <w:t>.”</w:t>
      </w:r>
      <w:r w:rsidRPr="003B4244">
        <w:rPr>
          <w:rFonts w:cstheme="minorHAnsi"/>
        </w:rPr>
        <w:t xml:space="preserve">  BIS Working Paper #864 (May)</w:t>
      </w:r>
      <w:r w:rsidR="00CB332F">
        <w:rPr>
          <w:rFonts w:cstheme="minorHAnsi"/>
        </w:rPr>
        <w:t>.</w:t>
      </w:r>
    </w:p>
    <w:p w:rsidR="007B6A2B" w:rsidRPr="003B4244" w:rsidRDefault="007B6A2B" w:rsidP="003B4244">
      <w:pPr>
        <w:spacing w:line="360" w:lineRule="auto"/>
        <w:ind w:left="720" w:hanging="720"/>
        <w:rPr>
          <w:rFonts w:cstheme="minorHAnsi"/>
        </w:rPr>
      </w:pPr>
      <w:r w:rsidRPr="003B4244">
        <w:rPr>
          <w:rFonts w:cstheme="minorHAnsi"/>
        </w:rPr>
        <w:t>Aldasoro and Ehlers</w:t>
      </w:r>
      <w:r w:rsidR="00AD658A" w:rsidRPr="003B4244">
        <w:rPr>
          <w:rFonts w:cstheme="minorHAnsi"/>
        </w:rPr>
        <w:t xml:space="preserve">. </w:t>
      </w:r>
      <w:r w:rsidRPr="003B4244">
        <w:rPr>
          <w:rFonts w:cstheme="minorHAnsi"/>
        </w:rPr>
        <w:t xml:space="preserve"> 2018</w:t>
      </w:r>
      <w:r w:rsidR="00AD658A" w:rsidRPr="003B4244">
        <w:rPr>
          <w:rFonts w:cstheme="minorHAnsi"/>
        </w:rPr>
        <w:t xml:space="preserve">. </w:t>
      </w:r>
      <w:r w:rsidR="00FB4276" w:rsidRPr="003B4244">
        <w:rPr>
          <w:rFonts w:cstheme="minorHAnsi"/>
        </w:rPr>
        <w:t xml:space="preserve"> </w:t>
      </w:r>
      <w:r w:rsidR="009248BE" w:rsidRPr="003B4244">
        <w:rPr>
          <w:rFonts w:cstheme="minorHAnsi"/>
        </w:rPr>
        <w:t>“</w:t>
      </w:r>
      <w:r w:rsidR="00FB4276" w:rsidRPr="003B4244">
        <w:rPr>
          <w:rFonts w:cstheme="minorHAnsi"/>
        </w:rPr>
        <w:t>The Geography of Dollar Funding</w:t>
      </w:r>
      <w:r w:rsidR="00E15E88" w:rsidRPr="003B4244">
        <w:rPr>
          <w:rFonts w:cstheme="minorHAnsi"/>
        </w:rPr>
        <w:t xml:space="preserve"> of Non-US Banks.</w:t>
      </w:r>
      <w:r w:rsidR="009248BE" w:rsidRPr="003B4244">
        <w:rPr>
          <w:rFonts w:cstheme="minorHAnsi"/>
        </w:rPr>
        <w:t>”</w:t>
      </w:r>
      <w:r w:rsidR="00E15E88" w:rsidRPr="003B4244">
        <w:rPr>
          <w:rFonts w:cstheme="minorHAnsi"/>
        </w:rPr>
        <w:t xml:space="preserve">  BIS </w:t>
      </w:r>
      <w:r w:rsidR="00E15E88" w:rsidRPr="00CB332F">
        <w:rPr>
          <w:rFonts w:cstheme="minorHAnsi"/>
          <w:i/>
        </w:rPr>
        <w:t>Quarterly Review</w:t>
      </w:r>
      <w:r w:rsidR="00E15E88" w:rsidRPr="003B4244">
        <w:rPr>
          <w:rFonts w:cstheme="minorHAnsi"/>
        </w:rPr>
        <w:t xml:space="preserve"> (December)</w:t>
      </w:r>
      <w:r w:rsidR="00CB332F">
        <w:rPr>
          <w:rFonts w:cstheme="minorHAnsi"/>
        </w:rPr>
        <w:t>.</w:t>
      </w:r>
    </w:p>
    <w:p w:rsidR="00AD658A" w:rsidRPr="003B4244" w:rsidRDefault="00AD658A" w:rsidP="003B4244">
      <w:pPr>
        <w:spacing w:line="360" w:lineRule="auto"/>
        <w:ind w:left="720" w:hanging="720"/>
        <w:rPr>
          <w:rFonts w:cstheme="minorHAnsi"/>
        </w:rPr>
      </w:pPr>
      <w:r w:rsidRPr="003B4244">
        <w:rPr>
          <w:rFonts w:cstheme="minorHAnsi"/>
        </w:rPr>
        <w:t xml:space="preserve">Avdjiev, McCauley and Shin.  2015.  </w:t>
      </w:r>
      <w:r w:rsidR="009248BE" w:rsidRPr="003B4244">
        <w:rPr>
          <w:rFonts w:cstheme="minorHAnsi"/>
        </w:rPr>
        <w:t>“</w:t>
      </w:r>
      <w:r w:rsidRPr="003B4244">
        <w:rPr>
          <w:rFonts w:cstheme="minorHAnsi"/>
        </w:rPr>
        <w:t>Breaking Free of the Triple Coincidence in International Finance.</w:t>
      </w:r>
      <w:r w:rsidR="009248BE" w:rsidRPr="003B4244">
        <w:rPr>
          <w:rFonts w:cstheme="minorHAnsi"/>
        </w:rPr>
        <w:t>”</w:t>
      </w:r>
      <w:r w:rsidRPr="003B4244">
        <w:rPr>
          <w:rFonts w:cstheme="minorHAnsi"/>
        </w:rPr>
        <w:t xml:space="preserve">  BIS Working Paper </w:t>
      </w:r>
      <w:r w:rsidR="00CB332F">
        <w:rPr>
          <w:rFonts w:cstheme="minorHAnsi"/>
        </w:rPr>
        <w:t>#</w:t>
      </w:r>
      <w:r w:rsidRPr="003B4244">
        <w:rPr>
          <w:rFonts w:cstheme="minorHAnsi"/>
        </w:rPr>
        <w:t>524</w:t>
      </w:r>
      <w:r w:rsidR="00CB332F">
        <w:rPr>
          <w:rFonts w:cstheme="minorHAnsi"/>
        </w:rPr>
        <w:t>.</w:t>
      </w:r>
    </w:p>
    <w:p w:rsidR="00AD658A" w:rsidRPr="00CB332F" w:rsidRDefault="00AD658A" w:rsidP="003B4244">
      <w:pPr>
        <w:spacing w:line="360" w:lineRule="auto"/>
        <w:ind w:left="720" w:hanging="720"/>
        <w:rPr>
          <w:rStyle w:val="Accentuation"/>
          <w:rFonts w:cstheme="minorHAnsi"/>
          <w:i w:val="0"/>
          <w:color w:val="2E2A25"/>
          <w:bdr w:val="none" w:sz="0" w:space="0" w:color="auto" w:frame="1"/>
        </w:rPr>
      </w:pPr>
      <w:r w:rsidRPr="003B4244">
        <w:rPr>
          <w:rFonts w:cstheme="minorHAnsi"/>
        </w:rPr>
        <w:t>Bernanke, Ben.  1983.</w:t>
      </w:r>
      <w:r w:rsidR="00E15E88" w:rsidRPr="003B4244">
        <w:rPr>
          <w:rFonts w:cstheme="minorHAnsi"/>
          <w:color w:val="2E2A25"/>
        </w:rPr>
        <w:t xml:space="preserve"> “Non-monetary Effects of the Financial Crisis in the Prop</w:t>
      </w:r>
      <w:r w:rsidR="00CB332F">
        <w:rPr>
          <w:rFonts w:cstheme="minorHAnsi"/>
          <w:color w:val="2E2A25"/>
        </w:rPr>
        <w:t>agation of the Great Depression.</w:t>
      </w:r>
      <w:r w:rsidR="00E15E88" w:rsidRPr="003B4244">
        <w:rPr>
          <w:rFonts w:cstheme="minorHAnsi"/>
          <w:color w:val="2E2A25"/>
        </w:rPr>
        <w:t>” </w:t>
      </w:r>
      <w:r w:rsidR="00E15E88" w:rsidRPr="003B4244">
        <w:rPr>
          <w:rStyle w:val="Accentuation"/>
          <w:rFonts w:cstheme="minorHAnsi"/>
          <w:color w:val="2E2A25"/>
          <w:bdr w:val="none" w:sz="0" w:space="0" w:color="auto" w:frame="1"/>
        </w:rPr>
        <w:t>American Economic Review</w:t>
      </w:r>
      <w:r w:rsidR="00CB332F">
        <w:rPr>
          <w:rStyle w:val="Accentuation"/>
          <w:rFonts w:cstheme="minorHAnsi"/>
          <w:color w:val="2E2A25"/>
          <w:bdr w:val="none" w:sz="0" w:space="0" w:color="auto" w:frame="1"/>
        </w:rPr>
        <w:t xml:space="preserve"> </w:t>
      </w:r>
      <w:r w:rsidR="00CB332F">
        <w:rPr>
          <w:rStyle w:val="Accentuation"/>
          <w:rFonts w:cstheme="minorHAnsi"/>
          <w:i w:val="0"/>
          <w:color w:val="2E2A25"/>
          <w:bdr w:val="none" w:sz="0" w:space="0" w:color="auto" w:frame="1"/>
        </w:rPr>
        <w:t>73 No. 3:  257-276.</w:t>
      </w:r>
    </w:p>
    <w:p w:rsidR="003B4244" w:rsidRDefault="003B4244" w:rsidP="003B4244">
      <w:pPr>
        <w:spacing w:line="360" w:lineRule="auto"/>
        <w:ind w:left="720" w:hanging="720"/>
        <w:rPr>
          <w:rStyle w:val="Accentuation"/>
          <w:rFonts w:cstheme="minorHAnsi"/>
          <w:i w:val="0"/>
          <w:color w:val="2E2A25"/>
          <w:bdr w:val="none" w:sz="0" w:space="0" w:color="auto" w:frame="1"/>
        </w:rPr>
      </w:pPr>
      <w:r w:rsidRPr="003B4244">
        <w:rPr>
          <w:rStyle w:val="Accentuation"/>
          <w:rFonts w:cstheme="minorHAnsi"/>
          <w:i w:val="0"/>
          <w:color w:val="2E2A25"/>
          <w:bdr w:val="none" w:sz="0" w:space="0" w:color="auto" w:frame="1"/>
        </w:rPr>
        <w:t>Blinder, Alan</w:t>
      </w:r>
      <w:r w:rsidR="00DA31CB">
        <w:rPr>
          <w:rStyle w:val="Accentuation"/>
          <w:rFonts w:cstheme="minorHAnsi"/>
          <w:i w:val="0"/>
          <w:color w:val="2E2A25"/>
          <w:bdr w:val="none" w:sz="0" w:space="0" w:color="auto" w:frame="1"/>
        </w:rPr>
        <w:t xml:space="preserve"> S</w:t>
      </w:r>
      <w:r w:rsidRPr="003B4244">
        <w:rPr>
          <w:rStyle w:val="Accentuation"/>
          <w:rFonts w:cstheme="minorHAnsi"/>
          <w:i w:val="0"/>
          <w:color w:val="2E2A25"/>
          <w:bdr w:val="none" w:sz="0" w:space="0" w:color="auto" w:frame="1"/>
        </w:rPr>
        <w:t xml:space="preserve">.  1998.  </w:t>
      </w:r>
      <w:r w:rsidRPr="003B4244">
        <w:rPr>
          <w:rStyle w:val="Accentuation"/>
          <w:rFonts w:cstheme="minorHAnsi"/>
          <w:color w:val="2E2A25"/>
          <w:bdr w:val="none" w:sz="0" w:space="0" w:color="auto" w:frame="1"/>
        </w:rPr>
        <w:t>Central Banking in Theory and Practice</w:t>
      </w:r>
      <w:r w:rsidRPr="003B4244">
        <w:rPr>
          <w:rStyle w:val="Accentuation"/>
          <w:rFonts w:cstheme="minorHAnsi"/>
          <w:i w:val="0"/>
          <w:color w:val="2E2A25"/>
          <w:bdr w:val="none" w:sz="0" w:space="0" w:color="auto" w:frame="1"/>
        </w:rPr>
        <w:t>.  Cambridge:  MIT Press.</w:t>
      </w:r>
    </w:p>
    <w:p w:rsidR="00DA31CB" w:rsidRDefault="00DA31CB" w:rsidP="003B4244">
      <w:pPr>
        <w:spacing w:line="360" w:lineRule="auto"/>
        <w:ind w:left="720" w:hanging="720"/>
        <w:rPr>
          <w:rStyle w:val="Accentuation"/>
          <w:rFonts w:cstheme="minorHAnsi"/>
          <w:i w:val="0"/>
          <w:color w:val="2E2A25"/>
          <w:bdr w:val="none" w:sz="0" w:space="0" w:color="auto" w:frame="1"/>
        </w:rPr>
      </w:pPr>
      <w:r>
        <w:rPr>
          <w:rStyle w:val="Accentuation"/>
          <w:rFonts w:cstheme="minorHAnsi"/>
          <w:i w:val="0"/>
          <w:color w:val="2E2A25"/>
          <w:bdr w:val="none" w:sz="0" w:space="0" w:color="auto" w:frame="1"/>
        </w:rPr>
        <w:t xml:space="preserve">Blinder, Alan S.  2004.  </w:t>
      </w:r>
      <w:r w:rsidRPr="00DA31CB">
        <w:rPr>
          <w:rStyle w:val="Accentuation"/>
          <w:rFonts w:cstheme="minorHAnsi"/>
          <w:color w:val="2E2A25"/>
          <w:bdr w:val="none" w:sz="0" w:space="0" w:color="auto" w:frame="1"/>
        </w:rPr>
        <w:t>The Quiet Revolution:  Central Banking goes Modern</w:t>
      </w:r>
      <w:r>
        <w:rPr>
          <w:rStyle w:val="Accentuation"/>
          <w:rFonts w:cstheme="minorHAnsi"/>
          <w:i w:val="0"/>
          <w:color w:val="2E2A25"/>
          <w:bdr w:val="none" w:sz="0" w:space="0" w:color="auto" w:frame="1"/>
        </w:rPr>
        <w:t>.  New Haven:  Yale University Press.</w:t>
      </w:r>
    </w:p>
    <w:p w:rsidR="00DA31CB" w:rsidRDefault="00DA31CB" w:rsidP="003B4244">
      <w:pPr>
        <w:spacing w:line="360" w:lineRule="auto"/>
        <w:ind w:left="720" w:hanging="720"/>
        <w:rPr>
          <w:rStyle w:val="Accentuation"/>
          <w:rFonts w:cstheme="minorHAnsi"/>
          <w:i w:val="0"/>
          <w:color w:val="2E2A25"/>
          <w:bdr w:val="none" w:sz="0" w:space="0" w:color="auto" w:frame="1"/>
        </w:rPr>
      </w:pPr>
      <w:r>
        <w:rPr>
          <w:rStyle w:val="Accentuation"/>
          <w:rFonts w:cstheme="minorHAnsi"/>
          <w:i w:val="0"/>
          <w:color w:val="2E2A25"/>
          <w:bdr w:val="none" w:sz="0" w:space="0" w:color="auto" w:frame="1"/>
        </w:rPr>
        <w:t>Brunnermeier, Markus and Lasse Pedersen.  2009.  “</w:t>
      </w:r>
      <w:r w:rsidR="00CB332F">
        <w:rPr>
          <w:rStyle w:val="Accentuation"/>
          <w:rFonts w:cstheme="minorHAnsi"/>
          <w:i w:val="0"/>
          <w:color w:val="2E2A25"/>
          <w:bdr w:val="none" w:sz="0" w:space="0" w:color="auto" w:frame="1"/>
        </w:rPr>
        <w:t>Market Liquidity and Funding L</w:t>
      </w:r>
      <w:r>
        <w:rPr>
          <w:rStyle w:val="Accentuation"/>
          <w:rFonts w:cstheme="minorHAnsi"/>
          <w:i w:val="0"/>
          <w:color w:val="2E2A25"/>
          <w:bdr w:val="none" w:sz="0" w:space="0" w:color="auto" w:frame="1"/>
        </w:rPr>
        <w:t xml:space="preserve">iquidity.”  </w:t>
      </w:r>
      <w:r w:rsidRPr="00DA31CB">
        <w:rPr>
          <w:rStyle w:val="Accentuation"/>
          <w:rFonts w:cstheme="minorHAnsi"/>
          <w:color w:val="2E2A25"/>
          <w:bdr w:val="none" w:sz="0" w:space="0" w:color="auto" w:frame="1"/>
        </w:rPr>
        <w:t>Review of Financial Studies</w:t>
      </w:r>
      <w:r>
        <w:rPr>
          <w:rStyle w:val="Accentuation"/>
          <w:rFonts w:cstheme="minorHAnsi"/>
          <w:i w:val="0"/>
          <w:color w:val="2E2A25"/>
          <w:bdr w:val="none" w:sz="0" w:space="0" w:color="auto" w:frame="1"/>
        </w:rPr>
        <w:t xml:space="preserve"> 22 (6):  2201-2233.</w:t>
      </w:r>
    </w:p>
    <w:p w:rsidR="003B4244" w:rsidRPr="003B4244" w:rsidRDefault="003B4244" w:rsidP="003B4244">
      <w:pPr>
        <w:spacing w:line="360" w:lineRule="auto"/>
        <w:ind w:left="720" w:hanging="720"/>
        <w:rPr>
          <w:rFonts w:cstheme="minorHAnsi"/>
        </w:rPr>
      </w:pPr>
      <w:r>
        <w:rPr>
          <w:rStyle w:val="Accentuation"/>
          <w:rFonts w:cstheme="minorHAnsi"/>
          <w:i w:val="0"/>
          <w:color w:val="2E2A25"/>
          <w:bdr w:val="none" w:sz="0" w:space="0" w:color="auto" w:frame="1"/>
        </w:rPr>
        <w:t xml:space="preserve">Castillo-Martinez, Laura and Ricardo Reis.  2024.  “How do central banks control inflation?  A guide for the perplexed.”  </w:t>
      </w:r>
      <w:r w:rsidRPr="00DA31CB">
        <w:rPr>
          <w:rStyle w:val="Accentuation"/>
          <w:rFonts w:cstheme="minorHAnsi"/>
          <w:color w:val="2E2A25"/>
          <w:bdr w:val="none" w:sz="0" w:space="0" w:color="auto" w:frame="1"/>
        </w:rPr>
        <w:t>Journal of Economic Literature</w:t>
      </w:r>
      <w:r>
        <w:rPr>
          <w:rStyle w:val="Accentuation"/>
          <w:rFonts w:cstheme="minorHAnsi"/>
          <w:i w:val="0"/>
          <w:color w:val="2E2A25"/>
          <w:bdr w:val="none" w:sz="0" w:space="0" w:color="auto" w:frame="1"/>
        </w:rPr>
        <w:t>.</w:t>
      </w:r>
    </w:p>
    <w:p w:rsidR="006E2E9B" w:rsidRPr="003B4244" w:rsidRDefault="006E2E9B" w:rsidP="003B4244">
      <w:pPr>
        <w:spacing w:line="360" w:lineRule="auto"/>
        <w:ind w:left="720" w:hanging="720"/>
        <w:rPr>
          <w:rFonts w:cstheme="minorHAnsi"/>
        </w:rPr>
      </w:pPr>
      <w:r w:rsidRPr="003B4244">
        <w:rPr>
          <w:rFonts w:cstheme="minorHAnsi"/>
        </w:rPr>
        <w:t>Erik,</w:t>
      </w:r>
      <w:r w:rsidR="009248BE" w:rsidRPr="003B4244">
        <w:rPr>
          <w:rFonts w:cstheme="minorHAnsi"/>
        </w:rPr>
        <w:t xml:space="preserve"> Burcu,</w:t>
      </w:r>
      <w:r w:rsidRPr="003B4244">
        <w:rPr>
          <w:rFonts w:cstheme="minorHAnsi"/>
        </w:rPr>
        <w:t xml:space="preserve"> Marco Lombardi, Dubravko Mihaljek and Hyun Song Shin.  “The Dollar</w:t>
      </w:r>
      <w:r w:rsidR="009248BE" w:rsidRPr="003B4244">
        <w:rPr>
          <w:rFonts w:cstheme="minorHAnsi"/>
        </w:rPr>
        <w:t>, Bank Leverage,</w:t>
      </w:r>
      <w:r w:rsidRPr="003B4244">
        <w:rPr>
          <w:rFonts w:cstheme="minorHAnsi"/>
        </w:rPr>
        <w:t xml:space="preserve"> and Real Economic Activity:  an evolving relationship.”  BIS W</w:t>
      </w:r>
      <w:r w:rsidR="00E15E88" w:rsidRPr="003B4244">
        <w:rPr>
          <w:rFonts w:cstheme="minorHAnsi"/>
        </w:rPr>
        <w:t xml:space="preserve">orking </w:t>
      </w:r>
      <w:r w:rsidRPr="003B4244">
        <w:rPr>
          <w:rFonts w:cstheme="minorHAnsi"/>
        </w:rPr>
        <w:t>P</w:t>
      </w:r>
      <w:r w:rsidR="00E15E88" w:rsidRPr="003B4244">
        <w:rPr>
          <w:rFonts w:cstheme="minorHAnsi"/>
        </w:rPr>
        <w:t>aper</w:t>
      </w:r>
      <w:r w:rsidRPr="003B4244">
        <w:rPr>
          <w:rFonts w:cstheme="minorHAnsi"/>
        </w:rPr>
        <w:t xml:space="preserve"> </w:t>
      </w:r>
      <w:r w:rsidR="00E15E88" w:rsidRPr="003B4244">
        <w:rPr>
          <w:rFonts w:cstheme="minorHAnsi"/>
        </w:rPr>
        <w:t>#</w:t>
      </w:r>
      <w:r w:rsidRPr="003B4244">
        <w:rPr>
          <w:rFonts w:cstheme="minorHAnsi"/>
        </w:rPr>
        <w:t>847, presented at 2020 AEA meetings.</w:t>
      </w:r>
    </w:p>
    <w:p w:rsidR="00AD658A" w:rsidRPr="003B4244" w:rsidRDefault="00AD658A" w:rsidP="003B4244">
      <w:pPr>
        <w:spacing w:line="360" w:lineRule="auto"/>
        <w:ind w:left="720" w:hanging="720"/>
        <w:rPr>
          <w:rFonts w:cstheme="minorHAnsi"/>
        </w:rPr>
      </w:pPr>
      <w:r w:rsidRPr="003B4244">
        <w:rPr>
          <w:rFonts w:cstheme="minorHAnsi"/>
        </w:rPr>
        <w:t>Diamond</w:t>
      </w:r>
      <w:r w:rsidR="00CB332F">
        <w:rPr>
          <w:rFonts w:cstheme="minorHAnsi"/>
        </w:rPr>
        <w:t>, Douglas</w:t>
      </w:r>
      <w:r w:rsidRPr="003B4244">
        <w:rPr>
          <w:rFonts w:cstheme="minorHAnsi"/>
        </w:rPr>
        <w:t xml:space="preserve"> and </w:t>
      </w:r>
      <w:r w:rsidR="00CB332F">
        <w:rPr>
          <w:rFonts w:cstheme="minorHAnsi"/>
        </w:rPr>
        <w:t xml:space="preserve">Philip </w:t>
      </w:r>
      <w:r w:rsidRPr="003B4244">
        <w:rPr>
          <w:rFonts w:cstheme="minorHAnsi"/>
        </w:rPr>
        <w:t>Dybvig.  1983.</w:t>
      </w:r>
      <w:r w:rsidR="00E15E88" w:rsidRPr="003B4244">
        <w:rPr>
          <w:rFonts w:cstheme="minorHAnsi"/>
        </w:rPr>
        <w:t xml:space="preserve">  “Bank runs, deposit insurance, and liquidity.”  </w:t>
      </w:r>
      <w:r w:rsidR="00E15E88" w:rsidRPr="003B4244">
        <w:rPr>
          <w:rFonts w:cstheme="minorHAnsi"/>
          <w:i/>
        </w:rPr>
        <w:t>Journal of Political Economy</w:t>
      </w:r>
      <w:r w:rsidR="00E15E88" w:rsidRPr="003B4244">
        <w:rPr>
          <w:rFonts w:cstheme="minorHAnsi"/>
        </w:rPr>
        <w:t xml:space="preserve"> 9 No. 3</w:t>
      </w:r>
      <w:r w:rsidR="00CB332F">
        <w:rPr>
          <w:rFonts w:cstheme="minorHAnsi"/>
        </w:rPr>
        <w:t>:  401-419</w:t>
      </w:r>
      <w:r w:rsidR="00E15E88" w:rsidRPr="003B4244">
        <w:rPr>
          <w:rFonts w:cstheme="minorHAnsi"/>
        </w:rPr>
        <w:t>.</w:t>
      </w:r>
    </w:p>
    <w:p w:rsidR="00E46F35" w:rsidRPr="003B4244" w:rsidRDefault="00E46F35" w:rsidP="003B4244">
      <w:pPr>
        <w:spacing w:line="360" w:lineRule="auto"/>
        <w:ind w:left="720" w:hanging="720"/>
        <w:rPr>
          <w:rFonts w:cstheme="minorHAnsi"/>
        </w:rPr>
      </w:pPr>
      <w:r w:rsidRPr="003B4244">
        <w:rPr>
          <w:rFonts w:cstheme="minorHAnsi"/>
        </w:rPr>
        <w:t>Fullarton, John.</w:t>
      </w:r>
      <w:r w:rsidR="008A157F">
        <w:rPr>
          <w:rFonts w:cstheme="minorHAnsi"/>
        </w:rPr>
        <w:t xml:space="preserve">  1844.  </w:t>
      </w:r>
      <w:r w:rsidR="008A157F" w:rsidRPr="008A157F">
        <w:rPr>
          <w:rFonts w:cstheme="minorHAnsi"/>
          <w:i/>
        </w:rPr>
        <w:t>On the Regulation of Currencies</w:t>
      </w:r>
      <w:r w:rsidR="008A157F">
        <w:rPr>
          <w:rFonts w:cstheme="minorHAnsi"/>
        </w:rPr>
        <w:t>.  London:  John Murray.</w:t>
      </w:r>
    </w:p>
    <w:p w:rsidR="007B6A2B" w:rsidRPr="003B4244" w:rsidRDefault="007B6A2B" w:rsidP="003B4244">
      <w:pPr>
        <w:spacing w:line="360" w:lineRule="auto"/>
        <w:ind w:left="720" w:hanging="720"/>
        <w:rPr>
          <w:rFonts w:cstheme="minorHAnsi"/>
        </w:rPr>
      </w:pPr>
      <w:r w:rsidRPr="003B4244">
        <w:rPr>
          <w:rFonts w:cstheme="minorHAnsi"/>
        </w:rPr>
        <w:t>Gurley and Shaw</w:t>
      </w:r>
      <w:r w:rsidR="00AD658A" w:rsidRPr="003B4244">
        <w:rPr>
          <w:rFonts w:cstheme="minorHAnsi"/>
        </w:rPr>
        <w:t>.</w:t>
      </w:r>
      <w:r w:rsidRPr="003B4244">
        <w:rPr>
          <w:rFonts w:cstheme="minorHAnsi"/>
        </w:rPr>
        <w:t xml:space="preserve"> </w:t>
      </w:r>
      <w:r w:rsidR="00AD658A" w:rsidRPr="003B4244">
        <w:rPr>
          <w:rFonts w:cstheme="minorHAnsi"/>
        </w:rPr>
        <w:t xml:space="preserve"> </w:t>
      </w:r>
      <w:r w:rsidRPr="003B4244">
        <w:rPr>
          <w:rFonts w:cstheme="minorHAnsi"/>
        </w:rPr>
        <w:t>1960</w:t>
      </w:r>
      <w:r w:rsidR="00AD658A" w:rsidRPr="003B4244">
        <w:rPr>
          <w:rFonts w:cstheme="minorHAnsi"/>
        </w:rPr>
        <w:t>.</w:t>
      </w:r>
      <w:r w:rsidR="00FB4276" w:rsidRPr="003B4244">
        <w:rPr>
          <w:rFonts w:cstheme="minorHAnsi"/>
        </w:rPr>
        <w:t xml:space="preserve">  </w:t>
      </w:r>
      <w:r w:rsidR="00FB4276" w:rsidRPr="003B4244">
        <w:rPr>
          <w:rFonts w:cstheme="minorHAnsi"/>
          <w:i/>
        </w:rPr>
        <w:t>Money in a Theory of Finance</w:t>
      </w:r>
      <w:r w:rsidR="00E15E88" w:rsidRPr="003B4244">
        <w:rPr>
          <w:rFonts w:cstheme="minorHAnsi"/>
        </w:rPr>
        <w:t>.  Washington DC:  Brookings Institution.</w:t>
      </w:r>
    </w:p>
    <w:p w:rsidR="00E15E88" w:rsidRPr="003B4244" w:rsidRDefault="00E15E88" w:rsidP="003B4244">
      <w:pPr>
        <w:spacing w:line="360" w:lineRule="auto"/>
        <w:ind w:left="720" w:hanging="720"/>
        <w:rPr>
          <w:rFonts w:cstheme="minorHAnsi"/>
        </w:rPr>
      </w:pPr>
      <w:r w:rsidRPr="003B4244">
        <w:rPr>
          <w:rFonts w:cstheme="minorHAnsi"/>
        </w:rPr>
        <w:t xml:space="preserve">Hahn, Frank.  1965.  “On Some Problems of Proving the Existence of Equilibrium in a Monetary Economy.”  In </w:t>
      </w:r>
      <w:r w:rsidRPr="003B4244">
        <w:rPr>
          <w:rFonts w:cstheme="minorHAnsi"/>
          <w:i/>
        </w:rPr>
        <w:t>The Theory of Interest Rates</w:t>
      </w:r>
      <w:r w:rsidRPr="003B4244">
        <w:rPr>
          <w:rFonts w:cstheme="minorHAnsi"/>
        </w:rPr>
        <w:t>, edited by F. H. Hahn and F.P.R. Brechling.  London:  Macmillan.</w:t>
      </w:r>
    </w:p>
    <w:p w:rsidR="00E15E88" w:rsidRPr="003B4244" w:rsidRDefault="00E15E88" w:rsidP="003B4244">
      <w:pPr>
        <w:spacing w:line="360" w:lineRule="auto"/>
        <w:ind w:left="720" w:hanging="720"/>
        <w:rPr>
          <w:rFonts w:cstheme="minorHAnsi"/>
        </w:rPr>
      </w:pPr>
      <w:r w:rsidRPr="003B4244">
        <w:rPr>
          <w:rFonts w:cstheme="minorHAnsi"/>
        </w:rPr>
        <w:t xml:space="preserve">Hahn, Frank.  1985.  </w:t>
      </w:r>
      <w:r w:rsidRPr="003B4244">
        <w:rPr>
          <w:rFonts w:cstheme="minorHAnsi"/>
          <w:i/>
        </w:rPr>
        <w:t>Money and Inflation</w:t>
      </w:r>
      <w:r w:rsidRPr="003B4244">
        <w:rPr>
          <w:rFonts w:cstheme="minorHAnsi"/>
        </w:rPr>
        <w:t>.  Cambridge MA:  MIT Press.</w:t>
      </w:r>
    </w:p>
    <w:p w:rsidR="00AD658A" w:rsidRDefault="00E15E88" w:rsidP="003B4244">
      <w:pPr>
        <w:spacing w:line="360" w:lineRule="auto"/>
        <w:ind w:left="720" w:hanging="720"/>
        <w:rPr>
          <w:rFonts w:cstheme="minorHAnsi"/>
        </w:rPr>
      </w:pPr>
      <w:r w:rsidRPr="003B4244">
        <w:rPr>
          <w:rFonts w:cstheme="minorHAnsi"/>
        </w:rPr>
        <w:t xml:space="preserve">Hawtrey, Ralph G.  1932.  </w:t>
      </w:r>
      <w:r w:rsidRPr="003B4244">
        <w:rPr>
          <w:rFonts w:cstheme="minorHAnsi"/>
          <w:i/>
        </w:rPr>
        <w:t>The Art of Central Banking</w:t>
      </w:r>
      <w:r w:rsidRPr="003B4244">
        <w:rPr>
          <w:rFonts w:cstheme="minorHAnsi"/>
        </w:rPr>
        <w:t>.  London:  Longmans, Green.</w:t>
      </w:r>
    </w:p>
    <w:p w:rsidR="00DA2331" w:rsidRDefault="00DA2331" w:rsidP="003B4244">
      <w:pPr>
        <w:spacing w:line="360" w:lineRule="auto"/>
        <w:ind w:left="720" w:hanging="720"/>
        <w:rPr>
          <w:rFonts w:cstheme="minorHAnsi"/>
        </w:rPr>
      </w:pPr>
      <w:r>
        <w:rPr>
          <w:rFonts w:cstheme="minorHAnsi"/>
        </w:rPr>
        <w:t xml:space="preserve">Hicks, John.  1989.  </w:t>
      </w:r>
      <w:r w:rsidRPr="00DA2331">
        <w:rPr>
          <w:rFonts w:cstheme="minorHAnsi"/>
          <w:i/>
        </w:rPr>
        <w:t>A Market Theory of Money</w:t>
      </w:r>
      <w:r>
        <w:rPr>
          <w:rFonts w:cstheme="minorHAnsi"/>
        </w:rPr>
        <w:t>.  New York:  Oxford University Press.</w:t>
      </w:r>
    </w:p>
    <w:p w:rsidR="00C82B8F" w:rsidRDefault="00C82B8F" w:rsidP="003B4244">
      <w:pPr>
        <w:spacing w:line="360" w:lineRule="auto"/>
        <w:ind w:left="720" w:hanging="720"/>
        <w:rPr>
          <w:rFonts w:cstheme="minorHAnsi"/>
        </w:rPr>
      </w:pPr>
      <w:r>
        <w:rPr>
          <w:rFonts w:cstheme="minorHAnsi"/>
        </w:rPr>
        <w:t xml:space="preserve">Keynes, John Maynard.  1930.  </w:t>
      </w:r>
      <w:r w:rsidR="00DA2331" w:rsidRPr="00DA2331">
        <w:rPr>
          <w:rFonts w:cstheme="minorHAnsi"/>
          <w:i/>
        </w:rPr>
        <w:t xml:space="preserve">A </w:t>
      </w:r>
      <w:r w:rsidRPr="00DA2331">
        <w:rPr>
          <w:rFonts w:cstheme="minorHAnsi"/>
          <w:i/>
        </w:rPr>
        <w:t>Treatise on Money</w:t>
      </w:r>
      <w:r>
        <w:rPr>
          <w:rFonts w:cstheme="minorHAnsi"/>
        </w:rPr>
        <w:t>.</w:t>
      </w:r>
      <w:r w:rsidR="00DA2331">
        <w:rPr>
          <w:rFonts w:cstheme="minorHAnsi"/>
        </w:rPr>
        <w:t xml:space="preserve">  London:  Macmillan.</w:t>
      </w:r>
    </w:p>
    <w:p w:rsidR="00C82B8F" w:rsidRDefault="00C82B8F" w:rsidP="003B4244">
      <w:pPr>
        <w:spacing w:line="360" w:lineRule="auto"/>
        <w:ind w:left="720" w:hanging="720"/>
        <w:rPr>
          <w:rFonts w:cstheme="minorHAnsi"/>
        </w:rPr>
      </w:pPr>
      <w:r>
        <w:rPr>
          <w:rFonts w:cstheme="minorHAnsi"/>
        </w:rPr>
        <w:t xml:space="preserve">Keynes, John Maynard.  1936.  </w:t>
      </w:r>
      <w:r w:rsidR="00DA2331" w:rsidRPr="00DA2331">
        <w:rPr>
          <w:rFonts w:cstheme="minorHAnsi"/>
          <w:i/>
        </w:rPr>
        <w:t xml:space="preserve">The </w:t>
      </w:r>
      <w:r w:rsidRPr="00DA2331">
        <w:rPr>
          <w:rFonts w:cstheme="minorHAnsi"/>
          <w:i/>
        </w:rPr>
        <w:t>General Theory of Employment, Interest and Money</w:t>
      </w:r>
      <w:r>
        <w:rPr>
          <w:rFonts w:cstheme="minorHAnsi"/>
        </w:rPr>
        <w:t>.</w:t>
      </w:r>
      <w:r w:rsidR="00DA2331">
        <w:rPr>
          <w:rFonts w:cstheme="minorHAnsi"/>
        </w:rPr>
        <w:t xml:space="preserve">  London:  Macmillan.</w:t>
      </w:r>
    </w:p>
    <w:p w:rsidR="00C82B8F" w:rsidRPr="003B4244" w:rsidRDefault="00C82B8F" w:rsidP="003B4244">
      <w:pPr>
        <w:spacing w:line="360" w:lineRule="auto"/>
        <w:ind w:left="720" w:hanging="720"/>
        <w:rPr>
          <w:rFonts w:cstheme="minorHAnsi"/>
        </w:rPr>
      </w:pPr>
      <w:r>
        <w:rPr>
          <w:rFonts w:cstheme="minorHAnsi"/>
        </w:rPr>
        <w:t xml:space="preserve">Keynes, John Maynard.  1940.  </w:t>
      </w:r>
      <w:r w:rsidRPr="00DA2331">
        <w:rPr>
          <w:rFonts w:cstheme="minorHAnsi"/>
          <w:i/>
        </w:rPr>
        <w:t>How to Pay for the War</w:t>
      </w:r>
      <w:r>
        <w:rPr>
          <w:rFonts w:cstheme="minorHAnsi"/>
        </w:rPr>
        <w:t>.</w:t>
      </w:r>
      <w:r w:rsidR="00DA2331">
        <w:rPr>
          <w:rFonts w:cstheme="minorHAnsi"/>
        </w:rPr>
        <w:t xml:space="preserve">  London:  Macmillan.</w:t>
      </w:r>
    </w:p>
    <w:p w:rsidR="00E46F35" w:rsidRPr="003B4244" w:rsidRDefault="00E46F35" w:rsidP="003B4244">
      <w:pPr>
        <w:spacing w:line="360" w:lineRule="auto"/>
        <w:ind w:left="720" w:hanging="720"/>
        <w:rPr>
          <w:rFonts w:cstheme="minorHAnsi"/>
        </w:rPr>
      </w:pPr>
      <w:r w:rsidRPr="003B4244">
        <w:rPr>
          <w:rFonts w:cstheme="minorHAnsi"/>
        </w:rPr>
        <w:t xml:space="preserve">Laughlin, </w:t>
      </w:r>
      <w:r w:rsidR="008A157F">
        <w:rPr>
          <w:rFonts w:cstheme="minorHAnsi"/>
        </w:rPr>
        <w:t xml:space="preserve">J. </w:t>
      </w:r>
      <w:r w:rsidRPr="003B4244">
        <w:rPr>
          <w:rFonts w:cstheme="minorHAnsi"/>
        </w:rPr>
        <w:t>Laurence.</w:t>
      </w:r>
      <w:r w:rsidR="008A157F">
        <w:rPr>
          <w:rFonts w:cstheme="minorHAnsi"/>
        </w:rPr>
        <w:t xml:space="preserve">  1924.  </w:t>
      </w:r>
      <w:r w:rsidR="008A157F" w:rsidRPr="008A157F">
        <w:rPr>
          <w:rFonts w:cstheme="minorHAnsi"/>
          <w:i/>
        </w:rPr>
        <w:t>Money and Prices</w:t>
      </w:r>
      <w:r w:rsidR="008A157F">
        <w:rPr>
          <w:rFonts w:cstheme="minorHAnsi"/>
        </w:rPr>
        <w:t>.  New York:  Charles Scribner’s Sons.</w:t>
      </w:r>
    </w:p>
    <w:p w:rsidR="00E46F35" w:rsidRDefault="00E46F35" w:rsidP="003B4244">
      <w:pPr>
        <w:spacing w:line="360" w:lineRule="auto"/>
        <w:ind w:left="720" w:hanging="720"/>
        <w:rPr>
          <w:rFonts w:cstheme="minorHAnsi"/>
        </w:rPr>
      </w:pPr>
      <w:r w:rsidRPr="003B4244">
        <w:rPr>
          <w:rFonts w:cstheme="minorHAnsi"/>
        </w:rPr>
        <w:t xml:space="preserve">Marschak, Jacob.  1938.  “Money and the Theory of Assets.”  </w:t>
      </w:r>
      <w:r w:rsidRPr="003B4244">
        <w:rPr>
          <w:rFonts w:cstheme="minorHAnsi"/>
          <w:i/>
        </w:rPr>
        <w:t>Econometrica</w:t>
      </w:r>
      <w:r w:rsidRPr="003B4244">
        <w:rPr>
          <w:rFonts w:cstheme="minorHAnsi"/>
        </w:rPr>
        <w:t xml:space="preserve"> 6 No. 4:  311-25.</w:t>
      </w:r>
    </w:p>
    <w:p w:rsidR="008A157F" w:rsidRPr="003B4244" w:rsidRDefault="008A157F" w:rsidP="003B4244">
      <w:pPr>
        <w:spacing w:line="360" w:lineRule="auto"/>
        <w:ind w:left="720" w:hanging="720"/>
        <w:rPr>
          <w:rFonts w:cstheme="minorHAnsi"/>
        </w:rPr>
      </w:pPr>
      <w:r>
        <w:rPr>
          <w:rFonts w:cstheme="minorHAnsi"/>
        </w:rPr>
        <w:t xml:space="preserve">Mehrling, Perry.  1997.  </w:t>
      </w:r>
      <w:r w:rsidRPr="00CB332F">
        <w:rPr>
          <w:rFonts w:cstheme="minorHAnsi"/>
          <w:i/>
        </w:rPr>
        <w:t>The Money Interest and the Public Interest, American Monetary Thought 1920-1970</w:t>
      </w:r>
      <w:r>
        <w:rPr>
          <w:rFonts w:cstheme="minorHAnsi"/>
        </w:rPr>
        <w:t>.  Cambridge, MA:  Harvard University Press.</w:t>
      </w:r>
    </w:p>
    <w:p w:rsidR="00AD658A" w:rsidRDefault="00AD658A" w:rsidP="003B4244">
      <w:pPr>
        <w:spacing w:line="360" w:lineRule="auto"/>
        <w:ind w:left="720" w:hanging="720"/>
        <w:rPr>
          <w:rFonts w:eastAsia="Times New Roman" w:cstheme="minorHAnsi"/>
          <w:position w:val="-1"/>
        </w:rPr>
      </w:pPr>
      <w:r w:rsidRPr="003B4244">
        <w:rPr>
          <w:rFonts w:cstheme="minorHAnsi"/>
        </w:rPr>
        <w:t xml:space="preserve">Mehrling, Perry.  2010.  </w:t>
      </w:r>
      <w:r w:rsidR="009248BE" w:rsidRPr="003B4244">
        <w:rPr>
          <w:rFonts w:cstheme="minorHAnsi"/>
        </w:rPr>
        <w:t>“</w:t>
      </w:r>
      <w:r w:rsidRPr="003B4244">
        <w:rPr>
          <w:rFonts w:cstheme="minorHAnsi"/>
        </w:rPr>
        <w:t>A Tale of Two Cities.</w:t>
      </w:r>
      <w:r w:rsidR="009248BE" w:rsidRPr="003B4244">
        <w:rPr>
          <w:rFonts w:cstheme="minorHAnsi"/>
        </w:rPr>
        <w:t>”</w:t>
      </w:r>
      <w:r w:rsidRPr="003B4244">
        <w:rPr>
          <w:rFonts w:cstheme="minorHAnsi"/>
        </w:rPr>
        <w:t xml:space="preserve">  </w:t>
      </w:r>
      <w:r w:rsidRPr="003B4244">
        <w:rPr>
          <w:rFonts w:cstheme="minorHAnsi"/>
          <w:i/>
        </w:rPr>
        <w:t>History of Political Economy</w:t>
      </w:r>
      <w:r w:rsidR="005E17DF" w:rsidRPr="003B4244">
        <w:rPr>
          <w:rFonts w:eastAsia="Times New Roman" w:cstheme="minorHAnsi"/>
          <w:spacing w:val="-5"/>
          <w:position w:val="-1"/>
        </w:rPr>
        <w:t xml:space="preserve"> </w:t>
      </w:r>
      <w:r w:rsidR="005E17DF" w:rsidRPr="003B4244">
        <w:rPr>
          <w:rFonts w:eastAsia="Times New Roman" w:cstheme="minorHAnsi"/>
          <w:position w:val="-1"/>
        </w:rPr>
        <w:t>42 No. 2:  201</w:t>
      </w:r>
      <w:r w:rsidR="005E17DF" w:rsidRPr="003B4244">
        <w:rPr>
          <w:rFonts w:eastAsia="Times New Roman" w:cstheme="minorHAnsi"/>
          <w:spacing w:val="-1"/>
          <w:position w:val="-1"/>
        </w:rPr>
        <w:t>-</w:t>
      </w:r>
      <w:r w:rsidR="005E17DF" w:rsidRPr="003B4244">
        <w:rPr>
          <w:rFonts w:eastAsia="Times New Roman" w:cstheme="minorHAnsi"/>
          <w:position w:val="-1"/>
        </w:rPr>
        <w:t>219.</w:t>
      </w:r>
    </w:p>
    <w:p w:rsidR="008A157F" w:rsidRPr="003B4244" w:rsidRDefault="008A157F" w:rsidP="003B4244">
      <w:pPr>
        <w:spacing w:line="360" w:lineRule="auto"/>
        <w:ind w:left="720" w:hanging="720"/>
        <w:rPr>
          <w:rFonts w:cstheme="minorHAnsi"/>
        </w:rPr>
      </w:pPr>
      <w:r>
        <w:rPr>
          <w:rFonts w:eastAsia="Times New Roman" w:cstheme="minorHAnsi"/>
          <w:position w:val="-1"/>
        </w:rPr>
        <w:t xml:space="preserve">Mehrling, Perry.  2011.  </w:t>
      </w:r>
      <w:r w:rsidRPr="008A157F">
        <w:rPr>
          <w:rFonts w:eastAsia="Times New Roman" w:cstheme="minorHAnsi"/>
          <w:i/>
          <w:position w:val="-1"/>
        </w:rPr>
        <w:t>The New Lombard Street, How the Fed Became the Dealer of Last Resort</w:t>
      </w:r>
      <w:r>
        <w:rPr>
          <w:rFonts w:eastAsia="Times New Roman" w:cstheme="minorHAnsi"/>
          <w:position w:val="-1"/>
        </w:rPr>
        <w:t>.  Princeton, NJ:  Princeton University Press.</w:t>
      </w:r>
    </w:p>
    <w:p w:rsidR="005E17DF" w:rsidRDefault="00924F9B" w:rsidP="003B4244">
      <w:pPr>
        <w:spacing w:after="0" w:line="360" w:lineRule="auto"/>
        <w:ind w:left="720" w:right="144" w:hanging="720"/>
        <w:rPr>
          <w:rFonts w:eastAsia="Times New Roman" w:cstheme="minorHAnsi"/>
        </w:rPr>
      </w:pPr>
      <w:r w:rsidRPr="003B4244">
        <w:rPr>
          <w:rFonts w:cstheme="minorHAnsi"/>
        </w:rPr>
        <w:t>Mehrling</w:t>
      </w:r>
      <w:r w:rsidR="00AD658A" w:rsidRPr="003B4244">
        <w:rPr>
          <w:rFonts w:cstheme="minorHAnsi"/>
        </w:rPr>
        <w:t xml:space="preserve">, Perry. </w:t>
      </w:r>
      <w:r w:rsidRPr="003B4244">
        <w:rPr>
          <w:rFonts w:cstheme="minorHAnsi"/>
        </w:rPr>
        <w:t xml:space="preserve"> 2013</w:t>
      </w:r>
      <w:r w:rsidR="00AD658A" w:rsidRPr="003B4244">
        <w:rPr>
          <w:rFonts w:cstheme="minorHAnsi"/>
        </w:rPr>
        <w:t xml:space="preserve">. </w:t>
      </w:r>
      <w:r w:rsidRPr="003B4244">
        <w:rPr>
          <w:rFonts w:cstheme="minorHAnsi"/>
        </w:rPr>
        <w:t xml:space="preserve"> </w:t>
      </w:r>
      <w:r w:rsidR="008A157F">
        <w:rPr>
          <w:rFonts w:cstheme="minorHAnsi"/>
        </w:rPr>
        <w:t>“</w:t>
      </w:r>
      <w:r w:rsidRPr="003B4244">
        <w:rPr>
          <w:rFonts w:cstheme="minorHAnsi"/>
        </w:rPr>
        <w:t>Essential Hybridity</w:t>
      </w:r>
      <w:r w:rsidR="005E17DF" w:rsidRPr="003B4244">
        <w:rPr>
          <w:rFonts w:eastAsia="Times New Roman" w:cstheme="minorHAnsi"/>
        </w:rPr>
        <w:t xml:space="preserve"> A</w:t>
      </w:r>
      <w:r w:rsidR="005E17DF" w:rsidRPr="003B4244">
        <w:rPr>
          <w:rFonts w:eastAsia="Times New Roman" w:cstheme="minorHAnsi"/>
          <w:spacing w:val="2"/>
        </w:rPr>
        <w:t xml:space="preserve"> </w:t>
      </w:r>
      <w:r w:rsidR="005E17DF" w:rsidRPr="003B4244">
        <w:rPr>
          <w:rFonts w:eastAsia="Times New Roman" w:cstheme="minorHAnsi"/>
        </w:rPr>
        <w:t>Mon</w:t>
      </w:r>
      <w:r w:rsidR="005E17DF" w:rsidRPr="003B4244">
        <w:rPr>
          <w:rFonts w:eastAsia="Times New Roman" w:cstheme="minorHAnsi"/>
          <w:spacing w:val="1"/>
        </w:rPr>
        <w:t>e</w:t>
      </w:r>
      <w:r w:rsidR="005E17DF" w:rsidRPr="003B4244">
        <w:rPr>
          <w:rFonts w:eastAsia="Times New Roman" w:cstheme="minorHAnsi"/>
        </w:rPr>
        <w:t>y</w:t>
      </w:r>
      <w:r w:rsidR="005E17DF" w:rsidRPr="003B4244">
        <w:rPr>
          <w:rFonts w:eastAsia="Times New Roman" w:cstheme="minorHAnsi"/>
          <w:spacing w:val="-2"/>
        </w:rPr>
        <w:t xml:space="preserve"> </w:t>
      </w:r>
      <w:r w:rsidR="005E17DF" w:rsidRPr="003B4244">
        <w:rPr>
          <w:rFonts w:eastAsia="Times New Roman" w:cstheme="minorHAnsi"/>
        </w:rPr>
        <w:t>Vi</w:t>
      </w:r>
      <w:r w:rsidR="005E17DF" w:rsidRPr="003B4244">
        <w:rPr>
          <w:rFonts w:eastAsia="Times New Roman" w:cstheme="minorHAnsi"/>
          <w:spacing w:val="-1"/>
        </w:rPr>
        <w:t>e</w:t>
      </w:r>
      <w:r w:rsidR="005E17DF" w:rsidRPr="003B4244">
        <w:rPr>
          <w:rFonts w:eastAsia="Times New Roman" w:cstheme="minorHAnsi"/>
        </w:rPr>
        <w:t>w of</w:t>
      </w:r>
      <w:r w:rsidR="005E17DF" w:rsidRPr="003B4244">
        <w:rPr>
          <w:rFonts w:eastAsia="Times New Roman" w:cstheme="minorHAnsi"/>
          <w:spacing w:val="2"/>
        </w:rPr>
        <w:t xml:space="preserve"> </w:t>
      </w:r>
      <w:r w:rsidR="005E17DF" w:rsidRPr="003B4244">
        <w:rPr>
          <w:rFonts w:eastAsia="Times New Roman" w:cstheme="minorHAnsi"/>
          <w:spacing w:val="-1"/>
        </w:rPr>
        <w:t>F</w:t>
      </w:r>
      <w:r w:rsidR="005E17DF" w:rsidRPr="003B4244">
        <w:rPr>
          <w:rFonts w:eastAsia="Times New Roman" w:cstheme="minorHAnsi"/>
        </w:rPr>
        <w:t>X.”</w:t>
      </w:r>
      <w:r w:rsidR="005E17DF" w:rsidRPr="003B4244">
        <w:rPr>
          <w:rFonts w:eastAsia="Times New Roman" w:cstheme="minorHAnsi"/>
          <w:spacing w:val="59"/>
        </w:rPr>
        <w:t xml:space="preserve"> </w:t>
      </w:r>
      <w:r w:rsidR="005E17DF" w:rsidRPr="003B4244">
        <w:rPr>
          <w:rFonts w:eastAsia="Times New Roman" w:cstheme="minorHAnsi"/>
          <w:i/>
          <w:spacing w:val="3"/>
          <w:u w:color="000000"/>
        </w:rPr>
        <w:t>J</w:t>
      </w:r>
      <w:r w:rsidR="005E17DF" w:rsidRPr="003B4244">
        <w:rPr>
          <w:rFonts w:eastAsia="Times New Roman" w:cstheme="minorHAnsi"/>
          <w:i/>
          <w:u w:color="000000"/>
        </w:rPr>
        <w:t>ou</w:t>
      </w:r>
      <w:r w:rsidR="005E17DF" w:rsidRPr="003B4244">
        <w:rPr>
          <w:rFonts w:eastAsia="Times New Roman" w:cstheme="minorHAnsi"/>
          <w:i/>
          <w:spacing w:val="-1"/>
          <w:u w:color="000000"/>
        </w:rPr>
        <w:t>r</w:t>
      </w:r>
      <w:r w:rsidR="005E17DF" w:rsidRPr="003B4244">
        <w:rPr>
          <w:rFonts w:eastAsia="Times New Roman" w:cstheme="minorHAnsi"/>
          <w:i/>
          <w:u w:color="000000"/>
        </w:rPr>
        <w:t>n</w:t>
      </w:r>
      <w:r w:rsidR="005E17DF" w:rsidRPr="003B4244">
        <w:rPr>
          <w:rFonts w:eastAsia="Times New Roman" w:cstheme="minorHAnsi"/>
          <w:i/>
          <w:spacing w:val="-1"/>
          <w:u w:color="000000"/>
        </w:rPr>
        <w:t>a</w:t>
      </w:r>
      <w:r w:rsidR="005E17DF" w:rsidRPr="003B4244">
        <w:rPr>
          <w:rFonts w:eastAsia="Times New Roman" w:cstheme="minorHAnsi"/>
          <w:i/>
          <w:u w:color="000000"/>
        </w:rPr>
        <w:t>l of</w:t>
      </w:r>
      <w:r w:rsidR="005E17DF" w:rsidRPr="003B4244">
        <w:rPr>
          <w:rFonts w:eastAsia="Times New Roman" w:cstheme="minorHAnsi"/>
          <w:i/>
          <w:spacing w:val="-1"/>
          <w:u w:color="000000"/>
        </w:rPr>
        <w:t xml:space="preserve"> </w:t>
      </w:r>
      <w:r w:rsidR="005E17DF" w:rsidRPr="003B4244">
        <w:rPr>
          <w:rFonts w:eastAsia="Times New Roman" w:cstheme="minorHAnsi"/>
          <w:i/>
          <w:spacing w:val="1"/>
          <w:u w:color="000000"/>
        </w:rPr>
        <w:t>C</w:t>
      </w:r>
      <w:r w:rsidR="005E17DF" w:rsidRPr="003B4244">
        <w:rPr>
          <w:rFonts w:eastAsia="Times New Roman" w:cstheme="minorHAnsi"/>
          <w:i/>
          <w:u w:color="000000"/>
        </w:rPr>
        <w:t>omp</w:t>
      </w:r>
      <w:r w:rsidR="005E17DF" w:rsidRPr="003B4244">
        <w:rPr>
          <w:rFonts w:eastAsia="Times New Roman" w:cstheme="minorHAnsi"/>
          <w:i/>
          <w:spacing w:val="-1"/>
          <w:u w:color="000000"/>
        </w:rPr>
        <w:t>ara</w:t>
      </w:r>
      <w:r w:rsidR="005E17DF" w:rsidRPr="003B4244">
        <w:rPr>
          <w:rFonts w:eastAsia="Times New Roman" w:cstheme="minorHAnsi"/>
          <w:i/>
          <w:u w:color="000000"/>
        </w:rPr>
        <w:t>tive</w:t>
      </w:r>
      <w:r w:rsidR="005E17DF" w:rsidRPr="003B4244">
        <w:rPr>
          <w:rFonts w:eastAsia="Times New Roman" w:cstheme="minorHAnsi"/>
          <w:i/>
          <w:spacing w:val="-1"/>
          <w:u w:color="000000"/>
        </w:rPr>
        <w:t xml:space="preserve"> </w:t>
      </w:r>
      <w:r w:rsidR="005E17DF" w:rsidRPr="003B4244">
        <w:rPr>
          <w:rFonts w:eastAsia="Times New Roman" w:cstheme="minorHAnsi"/>
          <w:i/>
          <w:spacing w:val="2"/>
          <w:u w:color="000000"/>
        </w:rPr>
        <w:t>E</w:t>
      </w:r>
      <w:r w:rsidR="005E17DF" w:rsidRPr="003B4244">
        <w:rPr>
          <w:rFonts w:eastAsia="Times New Roman" w:cstheme="minorHAnsi"/>
          <w:i/>
          <w:spacing w:val="1"/>
          <w:u w:color="000000"/>
        </w:rPr>
        <w:t>c</w:t>
      </w:r>
      <w:r w:rsidR="005E17DF" w:rsidRPr="003B4244">
        <w:rPr>
          <w:rFonts w:eastAsia="Times New Roman" w:cstheme="minorHAnsi"/>
          <w:i/>
          <w:u w:color="000000"/>
        </w:rPr>
        <w:t>onomi</w:t>
      </w:r>
      <w:r w:rsidR="005E17DF" w:rsidRPr="003B4244">
        <w:rPr>
          <w:rFonts w:eastAsia="Times New Roman" w:cstheme="minorHAnsi"/>
          <w:i/>
          <w:spacing w:val="-1"/>
          <w:u w:color="000000"/>
        </w:rPr>
        <w:t>c</w:t>
      </w:r>
      <w:r w:rsidR="005E17DF" w:rsidRPr="003B4244">
        <w:rPr>
          <w:rFonts w:eastAsia="Times New Roman" w:cstheme="minorHAnsi"/>
          <w:i/>
          <w:u w:color="000000"/>
        </w:rPr>
        <w:t>s</w:t>
      </w:r>
      <w:r w:rsidR="005E17DF" w:rsidRPr="003B4244">
        <w:rPr>
          <w:rFonts w:eastAsia="Times New Roman" w:cstheme="minorHAnsi"/>
        </w:rPr>
        <w:t xml:space="preserve"> 41 No. 2 </w:t>
      </w:r>
      <w:r w:rsidR="005E17DF" w:rsidRPr="003B4244">
        <w:rPr>
          <w:rFonts w:eastAsia="Times New Roman" w:cstheme="minorHAnsi"/>
          <w:spacing w:val="-1"/>
        </w:rPr>
        <w:t>(</w:t>
      </w:r>
      <w:r w:rsidR="005E17DF" w:rsidRPr="003B4244">
        <w:rPr>
          <w:rFonts w:eastAsia="Times New Roman" w:cstheme="minorHAnsi"/>
        </w:rPr>
        <w:t>M</w:t>
      </w:r>
      <w:r w:rsidR="005E17DF" w:rsidRPr="003B4244">
        <w:rPr>
          <w:rFonts w:eastAsia="Times New Roman" w:cstheme="minorHAnsi"/>
          <w:spacing w:val="4"/>
        </w:rPr>
        <w:t>a</w:t>
      </w:r>
      <w:r w:rsidR="005E17DF" w:rsidRPr="003B4244">
        <w:rPr>
          <w:rFonts w:eastAsia="Times New Roman" w:cstheme="minorHAnsi"/>
        </w:rPr>
        <w:t>y</w:t>
      </w:r>
      <w:r w:rsidR="005E17DF" w:rsidRPr="003B4244">
        <w:rPr>
          <w:rFonts w:eastAsia="Times New Roman" w:cstheme="minorHAnsi"/>
          <w:spacing w:val="-1"/>
        </w:rPr>
        <w:t>)</w:t>
      </w:r>
      <w:r w:rsidR="005E17DF" w:rsidRPr="003B4244">
        <w:rPr>
          <w:rFonts w:eastAsia="Times New Roman" w:cstheme="minorHAnsi"/>
        </w:rPr>
        <w:t>:  355</w:t>
      </w:r>
      <w:r w:rsidR="005E17DF" w:rsidRPr="003B4244">
        <w:rPr>
          <w:rFonts w:eastAsia="Times New Roman" w:cstheme="minorHAnsi"/>
          <w:spacing w:val="-1"/>
        </w:rPr>
        <w:t>-</w:t>
      </w:r>
      <w:r w:rsidR="005E17DF" w:rsidRPr="003B4244">
        <w:rPr>
          <w:rFonts w:eastAsia="Times New Roman" w:cstheme="minorHAnsi"/>
        </w:rPr>
        <w:t>363.</w:t>
      </w:r>
    </w:p>
    <w:p w:rsidR="006F5620" w:rsidRDefault="006F5620" w:rsidP="003B4244">
      <w:pPr>
        <w:spacing w:after="0" w:line="360" w:lineRule="auto"/>
        <w:ind w:left="720" w:right="144" w:hanging="720"/>
        <w:rPr>
          <w:rFonts w:eastAsia="Times New Roman" w:cstheme="minorHAnsi"/>
        </w:rPr>
      </w:pPr>
    </w:p>
    <w:p w:rsidR="008A157F" w:rsidRDefault="008A157F" w:rsidP="003B4244">
      <w:pPr>
        <w:spacing w:after="0" w:line="360" w:lineRule="auto"/>
        <w:ind w:left="720" w:right="144" w:hanging="720"/>
        <w:rPr>
          <w:rFonts w:eastAsia="Times New Roman" w:cstheme="minorHAnsi"/>
        </w:rPr>
      </w:pPr>
      <w:r>
        <w:rPr>
          <w:rFonts w:eastAsia="Times New Roman" w:cstheme="minorHAnsi"/>
        </w:rPr>
        <w:t>Mehrling, Perry.  2017.  “Financialization and its Discontents.”</w:t>
      </w:r>
      <w:r w:rsidR="00CB332F">
        <w:rPr>
          <w:rFonts w:eastAsia="Times New Roman" w:cstheme="minorHAnsi"/>
        </w:rPr>
        <w:t xml:space="preserve">  </w:t>
      </w:r>
      <w:r w:rsidR="00CB332F" w:rsidRPr="00CB332F">
        <w:rPr>
          <w:rFonts w:eastAsia="Times New Roman" w:cstheme="minorHAnsi"/>
          <w:i/>
        </w:rPr>
        <w:t>Finance and Society</w:t>
      </w:r>
      <w:r w:rsidR="00CB332F">
        <w:rPr>
          <w:rFonts w:eastAsia="Times New Roman" w:cstheme="minorHAnsi"/>
        </w:rPr>
        <w:t xml:space="preserve"> 3 No. 1:  1-10.</w:t>
      </w:r>
    </w:p>
    <w:p w:rsidR="006F5620" w:rsidRPr="003B4244" w:rsidRDefault="006F5620" w:rsidP="003B4244">
      <w:pPr>
        <w:spacing w:after="0" w:line="360" w:lineRule="auto"/>
        <w:ind w:left="720" w:right="144" w:hanging="720"/>
        <w:rPr>
          <w:rFonts w:eastAsia="Times New Roman" w:cstheme="minorHAnsi"/>
        </w:rPr>
      </w:pPr>
    </w:p>
    <w:p w:rsidR="007B6A2B" w:rsidRPr="003B4244" w:rsidRDefault="007B6A2B" w:rsidP="003B4244">
      <w:pPr>
        <w:spacing w:line="360" w:lineRule="auto"/>
        <w:ind w:left="720" w:hanging="720"/>
        <w:rPr>
          <w:rFonts w:cstheme="minorHAnsi"/>
        </w:rPr>
      </w:pPr>
      <w:r w:rsidRPr="003B4244">
        <w:rPr>
          <w:rFonts w:cstheme="minorHAnsi"/>
        </w:rPr>
        <w:t>Mehrling</w:t>
      </w:r>
      <w:r w:rsidR="00AD658A" w:rsidRPr="003B4244">
        <w:rPr>
          <w:rFonts w:cstheme="minorHAnsi"/>
        </w:rPr>
        <w:t xml:space="preserve">, Perry. </w:t>
      </w:r>
      <w:r w:rsidRPr="003B4244">
        <w:rPr>
          <w:rFonts w:cstheme="minorHAnsi"/>
        </w:rPr>
        <w:t xml:space="preserve"> 2022</w:t>
      </w:r>
      <w:r w:rsidR="00AD658A" w:rsidRPr="003B4244">
        <w:rPr>
          <w:rFonts w:cstheme="minorHAnsi"/>
        </w:rPr>
        <w:t xml:space="preserve">. </w:t>
      </w:r>
      <w:r w:rsidR="000D01D8" w:rsidRPr="003B4244">
        <w:rPr>
          <w:rFonts w:cstheme="minorHAnsi"/>
        </w:rPr>
        <w:t xml:space="preserve"> </w:t>
      </w:r>
      <w:r w:rsidR="008A157F">
        <w:rPr>
          <w:rFonts w:cstheme="minorHAnsi"/>
        </w:rPr>
        <w:t>“</w:t>
      </w:r>
      <w:r w:rsidR="000D01D8" w:rsidRPr="003B4244">
        <w:rPr>
          <w:rFonts w:cstheme="minorHAnsi"/>
        </w:rPr>
        <w:t>Where’s my Swap Line</w:t>
      </w:r>
      <w:r w:rsidR="005E17DF" w:rsidRPr="003B4244">
        <w:rPr>
          <w:rFonts w:cstheme="minorHAnsi"/>
        </w:rPr>
        <w:t>?  A Money View of International Lender of Last Resort.</w:t>
      </w:r>
      <w:r w:rsidR="008A157F">
        <w:rPr>
          <w:rFonts w:cstheme="minorHAnsi"/>
        </w:rPr>
        <w:t>”</w:t>
      </w:r>
      <w:r w:rsidR="005E17DF" w:rsidRPr="003B4244">
        <w:rPr>
          <w:rFonts w:cstheme="minorHAnsi"/>
        </w:rPr>
        <w:t xml:space="preserve">  </w:t>
      </w:r>
      <w:r w:rsidR="005E17DF" w:rsidRPr="003B4244">
        <w:rPr>
          <w:rFonts w:cstheme="minorHAnsi"/>
          <w:i/>
        </w:rPr>
        <w:t>Economic History Yearbook</w:t>
      </w:r>
      <w:r w:rsidR="005E17DF" w:rsidRPr="003B4244">
        <w:rPr>
          <w:rFonts w:cstheme="minorHAnsi"/>
        </w:rPr>
        <w:t xml:space="preserve"> 63 (2):  559-574.</w:t>
      </w:r>
    </w:p>
    <w:p w:rsidR="00924F9B" w:rsidRPr="003B4244" w:rsidRDefault="000D01D8" w:rsidP="003B4244">
      <w:pPr>
        <w:spacing w:line="360" w:lineRule="auto"/>
        <w:ind w:left="720" w:hanging="720"/>
        <w:rPr>
          <w:rFonts w:cstheme="minorHAnsi"/>
        </w:rPr>
      </w:pPr>
      <w:r w:rsidRPr="003B4244">
        <w:rPr>
          <w:rFonts w:cstheme="minorHAnsi"/>
        </w:rPr>
        <w:t>Mehrling</w:t>
      </w:r>
      <w:r w:rsidR="00AD658A" w:rsidRPr="003B4244">
        <w:rPr>
          <w:rFonts w:cstheme="minorHAnsi"/>
        </w:rPr>
        <w:t xml:space="preserve">, Perry.  </w:t>
      </w:r>
      <w:r w:rsidRPr="003B4244">
        <w:rPr>
          <w:rFonts w:cstheme="minorHAnsi"/>
        </w:rPr>
        <w:t xml:space="preserve"> 2022</w:t>
      </w:r>
      <w:r w:rsidR="00AD658A" w:rsidRPr="003B4244">
        <w:rPr>
          <w:rFonts w:cstheme="minorHAnsi"/>
        </w:rPr>
        <w:t xml:space="preserve">. </w:t>
      </w:r>
      <w:r w:rsidRPr="003B4244">
        <w:rPr>
          <w:rFonts w:cstheme="minorHAnsi"/>
        </w:rPr>
        <w:t xml:space="preserve"> </w:t>
      </w:r>
      <w:r w:rsidR="00217D4D" w:rsidRPr="003B4244">
        <w:rPr>
          <w:rFonts w:cstheme="minorHAnsi"/>
        </w:rPr>
        <w:t>“</w:t>
      </w:r>
      <w:r w:rsidRPr="003B4244">
        <w:rPr>
          <w:rFonts w:cstheme="minorHAnsi"/>
        </w:rPr>
        <w:t>Payment versus Funding</w:t>
      </w:r>
      <w:r w:rsidR="00217D4D" w:rsidRPr="003B4244">
        <w:rPr>
          <w:rFonts w:cstheme="minorHAnsi"/>
        </w:rPr>
        <w:t>, The Law of Reflux for Today.”</w:t>
      </w:r>
      <w:r w:rsidR="00924F9B" w:rsidRPr="003B4244">
        <w:rPr>
          <w:rFonts w:cstheme="minorHAnsi"/>
        </w:rPr>
        <w:t xml:space="preserve"> </w:t>
      </w:r>
      <w:r w:rsidR="003B4244">
        <w:rPr>
          <w:rFonts w:cstheme="minorHAnsi"/>
        </w:rPr>
        <w:t xml:space="preserve"> Pages 103-118 i</w:t>
      </w:r>
      <w:r w:rsidR="005E17DF" w:rsidRPr="003B4244">
        <w:rPr>
          <w:rFonts w:cstheme="minorHAnsi"/>
          <w:color w:val="21242B"/>
          <w:shd w:val="clear" w:color="auto" w:fill="FFFFFF"/>
        </w:rPr>
        <w:t xml:space="preserve">n </w:t>
      </w:r>
      <w:r w:rsidR="005E17DF" w:rsidRPr="003B4244">
        <w:rPr>
          <w:rFonts w:cstheme="minorHAnsi"/>
          <w:i/>
          <w:color w:val="21242B"/>
          <w:shd w:val="clear" w:color="auto" w:fill="FFFFFF"/>
        </w:rPr>
        <w:t>Monetary Economics, Banking and Policy: Expanding Economic Thought to Meet Contemporary Challenges</w:t>
      </w:r>
      <w:r w:rsidR="003B4244">
        <w:rPr>
          <w:rFonts w:cstheme="minorHAnsi"/>
          <w:color w:val="21242B"/>
          <w:shd w:val="clear" w:color="auto" w:fill="FFFFFF"/>
        </w:rPr>
        <w:t xml:space="preserve">, edited by Penelope </w:t>
      </w:r>
      <w:r w:rsidR="005E17DF" w:rsidRPr="003B4244">
        <w:rPr>
          <w:rFonts w:cstheme="minorHAnsi"/>
          <w:color w:val="21242B"/>
          <w:shd w:val="clear" w:color="auto" w:fill="FFFFFF"/>
        </w:rPr>
        <w:t>Hawkins</w:t>
      </w:r>
      <w:r w:rsidR="003B4244">
        <w:rPr>
          <w:rFonts w:cstheme="minorHAnsi"/>
          <w:color w:val="21242B"/>
          <w:shd w:val="clear" w:color="auto" w:fill="FFFFFF"/>
        </w:rPr>
        <w:t xml:space="preserve"> and Ioana</w:t>
      </w:r>
      <w:r w:rsidR="005E17DF" w:rsidRPr="003B4244">
        <w:rPr>
          <w:rFonts w:cstheme="minorHAnsi"/>
          <w:color w:val="21242B"/>
          <w:shd w:val="clear" w:color="auto" w:fill="FFFFFF"/>
        </w:rPr>
        <w:t xml:space="preserve"> Negru. Routledge, London UK and New York NY 2023</w:t>
      </w:r>
    </w:p>
    <w:p w:rsidR="00AD658A" w:rsidRDefault="00924F9B" w:rsidP="003B4244">
      <w:pPr>
        <w:spacing w:line="360" w:lineRule="auto"/>
        <w:ind w:left="720" w:hanging="720"/>
        <w:rPr>
          <w:rFonts w:eastAsia="Times New Roman" w:cstheme="minorHAnsi"/>
        </w:rPr>
      </w:pPr>
      <w:r w:rsidRPr="003B4244">
        <w:rPr>
          <w:rFonts w:cstheme="minorHAnsi"/>
        </w:rPr>
        <w:t>Mehrling Pozsar Sweeney and Neilson</w:t>
      </w:r>
      <w:r w:rsidR="00AD658A" w:rsidRPr="003B4244">
        <w:rPr>
          <w:rFonts w:cstheme="minorHAnsi"/>
        </w:rPr>
        <w:t xml:space="preserve">. </w:t>
      </w:r>
      <w:r w:rsidRPr="003B4244">
        <w:rPr>
          <w:rFonts w:cstheme="minorHAnsi"/>
        </w:rPr>
        <w:t xml:space="preserve"> 2014</w:t>
      </w:r>
      <w:r w:rsidR="00AD658A" w:rsidRPr="003B4244">
        <w:rPr>
          <w:rFonts w:cstheme="minorHAnsi"/>
        </w:rPr>
        <w:t>.</w:t>
      </w:r>
      <w:r w:rsidRPr="003B4244">
        <w:rPr>
          <w:rFonts w:cstheme="minorHAnsi"/>
        </w:rPr>
        <w:t xml:space="preserve">  </w:t>
      </w:r>
      <w:r w:rsidR="005E17DF" w:rsidRPr="003B4244">
        <w:rPr>
          <w:rFonts w:eastAsia="Times New Roman" w:cstheme="minorHAnsi"/>
          <w:spacing w:val="-1"/>
        </w:rPr>
        <w:t>“</w:t>
      </w:r>
      <w:r w:rsidR="005E17DF" w:rsidRPr="003B4244">
        <w:rPr>
          <w:rFonts w:eastAsia="Times New Roman" w:cstheme="minorHAnsi"/>
          <w:spacing w:val="-2"/>
        </w:rPr>
        <w:t>B</w:t>
      </w:r>
      <w:r w:rsidR="005E17DF" w:rsidRPr="003B4244">
        <w:rPr>
          <w:rFonts w:eastAsia="Times New Roman" w:cstheme="minorHAnsi"/>
          <w:spacing w:val="1"/>
        </w:rPr>
        <w:t>a</w:t>
      </w:r>
      <w:r w:rsidR="005E17DF" w:rsidRPr="003B4244">
        <w:rPr>
          <w:rFonts w:eastAsia="Times New Roman" w:cstheme="minorHAnsi"/>
        </w:rPr>
        <w:t>g</w:t>
      </w:r>
      <w:r w:rsidR="005E17DF" w:rsidRPr="003B4244">
        <w:rPr>
          <w:rFonts w:eastAsia="Times New Roman" w:cstheme="minorHAnsi"/>
          <w:spacing w:val="-1"/>
        </w:rPr>
        <w:t>e</w:t>
      </w:r>
      <w:r w:rsidR="005E17DF" w:rsidRPr="003B4244">
        <w:rPr>
          <w:rFonts w:eastAsia="Times New Roman" w:cstheme="minorHAnsi"/>
        </w:rPr>
        <w:t>hot w</w:t>
      </w:r>
      <w:r w:rsidR="005E17DF" w:rsidRPr="003B4244">
        <w:rPr>
          <w:rFonts w:eastAsia="Times New Roman" w:cstheme="minorHAnsi"/>
          <w:spacing w:val="-1"/>
        </w:rPr>
        <w:t>a</w:t>
      </w:r>
      <w:r w:rsidR="005E17DF" w:rsidRPr="003B4244">
        <w:rPr>
          <w:rFonts w:eastAsia="Times New Roman" w:cstheme="minorHAnsi"/>
        </w:rPr>
        <w:t>s</w:t>
      </w:r>
      <w:r w:rsidR="005E17DF" w:rsidRPr="003B4244">
        <w:rPr>
          <w:rFonts w:eastAsia="Times New Roman" w:cstheme="minorHAnsi"/>
          <w:spacing w:val="3"/>
        </w:rPr>
        <w:t xml:space="preserve"> </w:t>
      </w:r>
      <w:r w:rsidR="005E17DF" w:rsidRPr="003B4244">
        <w:rPr>
          <w:rFonts w:eastAsia="Times New Roman" w:cstheme="minorHAnsi"/>
        </w:rPr>
        <w:t>a</w:t>
      </w:r>
      <w:r w:rsidR="005E17DF" w:rsidRPr="003B4244">
        <w:rPr>
          <w:rFonts w:eastAsia="Times New Roman" w:cstheme="minorHAnsi"/>
          <w:spacing w:val="-1"/>
        </w:rPr>
        <w:t xml:space="preserve"> </w:t>
      </w:r>
      <w:r w:rsidR="005E17DF" w:rsidRPr="003B4244">
        <w:rPr>
          <w:rFonts w:eastAsia="Times New Roman" w:cstheme="minorHAnsi"/>
          <w:spacing w:val="1"/>
        </w:rPr>
        <w:t>S</w:t>
      </w:r>
      <w:r w:rsidR="005E17DF" w:rsidRPr="003B4244">
        <w:rPr>
          <w:rFonts w:eastAsia="Times New Roman" w:cstheme="minorHAnsi"/>
        </w:rPr>
        <w:t>h</w:t>
      </w:r>
      <w:r w:rsidR="005E17DF" w:rsidRPr="003B4244">
        <w:rPr>
          <w:rFonts w:eastAsia="Times New Roman" w:cstheme="minorHAnsi"/>
          <w:spacing w:val="-1"/>
        </w:rPr>
        <w:t>a</w:t>
      </w:r>
      <w:r w:rsidR="005E17DF" w:rsidRPr="003B4244">
        <w:rPr>
          <w:rFonts w:eastAsia="Times New Roman" w:cstheme="minorHAnsi"/>
        </w:rPr>
        <w:t>dow</w:t>
      </w:r>
      <w:r w:rsidR="005E17DF" w:rsidRPr="003B4244">
        <w:rPr>
          <w:rFonts w:eastAsia="Times New Roman" w:cstheme="minorHAnsi"/>
          <w:spacing w:val="2"/>
        </w:rPr>
        <w:t xml:space="preserve"> </w:t>
      </w:r>
      <w:r w:rsidR="005E17DF" w:rsidRPr="003B4244">
        <w:rPr>
          <w:rFonts w:eastAsia="Times New Roman" w:cstheme="minorHAnsi"/>
          <w:spacing w:val="-2"/>
        </w:rPr>
        <w:t>B</w:t>
      </w:r>
      <w:r w:rsidR="005E17DF" w:rsidRPr="003B4244">
        <w:rPr>
          <w:rFonts w:eastAsia="Times New Roman" w:cstheme="minorHAnsi"/>
          <w:spacing w:val="-1"/>
        </w:rPr>
        <w:t>a</w:t>
      </w:r>
      <w:r w:rsidR="005E17DF" w:rsidRPr="003B4244">
        <w:rPr>
          <w:rFonts w:eastAsia="Times New Roman" w:cstheme="minorHAnsi"/>
        </w:rPr>
        <w:t>nk</w:t>
      </w:r>
      <w:r w:rsidR="005E17DF" w:rsidRPr="003B4244">
        <w:rPr>
          <w:rFonts w:eastAsia="Times New Roman" w:cstheme="minorHAnsi"/>
          <w:spacing w:val="1"/>
        </w:rPr>
        <w:t>e</w:t>
      </w:r>
      <w:r w:rsidR="005E17DF" w:rsidRPr="003B4244">
        <w:rPr>
          <w:rFonts w:eastAsia="Times New Roman" w:cstheme="minorHAnsi"/>
          <w:spacing w:val="-1"/>
        </w:rPr>
        <w:t>r</w:t>
      </w:r>
      <w:r w:rsidR="005E17DF" w:rsidRPr="003B4244">
        <w:rPr>
          <w:rFonts w:eastAsia="Times New Roman" w:cstheme="minorHAnsi"/>
        </w:rPr>
        <w:t xml:space="preserve">:  </w:t>
      </w:r>
      <w:r w:rsidR="005E17DF" w:rsidRPr="003B4244">
        <w:rPr>
          <w:rFonts w:eastAsia="Times New Roman" w:cstheme="minorHAnsi"/>
          <w:spacing w:val="1"/>
        </w:rPr>
        <w:t>S</w:t>
      </w:r>
      <w:r w:rsidR="005E17DF" w:rsidRPr="003B4244">
        <w:rPr>
          <w:rFonts w:eastAsia="Times New Roman" w:cstheme="minorHAnsi"/>
        </w:rPr>
        <w:t>h</w:t>
      </w:r>
      <w:r w:rsidR="005E17DF" w:rsidRPr="003B4244">
        <w:rPr>
          <w:rFonts w:eastAsia="Times New Roman" w:cstheme="minorHAnsi"/>
          <w:spacing w:val="-1"/>
        </w:rPr>
        <w:t>a</w:t>
      </w:r>
      <w:r w:rsidR="005E17DF" w:rsidRPr="003B4244">
        <w:rPr>
          <w:rFonts w:eastAsia="Times New Roman" w:cstheme="minorHAnsi"/>
        </w:rPr>
        <w:t>dow</w:t>
      </w:r>
      <w:r w:rsidR="005E17DF" w:rsidRPr="003B4244">
        <w:rPr>
          <w:rFonts w:eastAsia="Times New Roman" w:cstheme="minorHAnsi"/>
          <w:spacing w:val="2"/>
        </w:rPr>
        <w:t xml:space="preserve"> </w:t>
      </w:r>
      <w:r w:rsidR="005E17DF" w:rsidRPr="003B4244">
        <w:rPr>
          <w:rFonts w:eastAsia="Times New Roman" w:cstheme="minorHAnsi"/>
          <w:spacing w:val="-2"/>
        </w:rPr>
        <w:t>B</w:t>
      </w:r>
      <w:r w:rsidR="005E17DF" w:rsidRPr="003B4244">
        <w:rPr>
          <w:rFonts w:eastAsia="Times New Roman" w:cstheme="minorHAnsi"/>
          <w:spacing w:val="-1"/>
        </w:rPr>
        <w:t>a</w:t>
      </w:r>
      <w:r w:rsidR="005E17DF" w:rsidRPr="003B4244">
        <w:rPr>
          <w:rFonts w:eastAsia="Times New Roman" w:cstheme="minorHAnsi"/>
        </w:rPr>
        <w:t>nki</w:t>
      </w:r>
      <w:r w:rsidR="005E17DF" w:rsidRPr="003B4244">
        <w:rPr>
          <w:rFonts w:eastAsia="Times New Roman" w:cstheme="minorHAnsi"/>
          <w:spacing w:val="2"/>
        </w:rPr>
        <w:t>n</w:t>
      </w:r>
      <w:r w:rsidR="005E17DF" w:rsidRPr="003B4244">
        <w:rPr>
          <w:rFonts w:eastAsia="Times New Roman" w:cstheme="minorHAnsi"/>
          <w:spacing w:val="-2"/>
        </w:rPr>
        <w:t>g</w:t>
      </w:r>
      <w:r w:rsidR="005E17DF" w:rsidRPr="003B4244">
        <w:rPr>
          <w:rFonts w:eastAsia="Times New Roman" w:cstheme="minorHAnsi"/>
        </w:rPr>
        <w:t xml:space="preserve">, </w:t>
      </w:r>
      <w:r w:rsidR="005E17DF" w:rsidRPr="003B4244">
        <w:rPr>
          <w:rFonts w:eastAsia="Times New Roman" w:cstheme="minorHAnsi"/>
          <w:spacing w:val="1"/>
        </w:rPr>
        <w:t>C</w:t>
      </w:r>
      <w:r w:rsidR="005E17DF" w:rsidRPr="003B4244">
        <w:rPr>
          <w:rFonts w:eastAsia="Times New Roman" w:cstheme="minorHAnsi"/>
          <w:spacing w:val="-1"/>
        </w:rPr>
        <w:t>e</w:t>
      </w:r>
      <w:r w:rsidR="005E17DF" w:rsidRPr="003B4244">
        <w:rPr>
          <w:rFonts w:eastAsia="Times New Roman" w:cstheme="minorHAnsi"/>
        </w:rPr>
        <w:t>nt</w:t>
      </w:r>
      <w:r w:rsidR="005E17DF" w:rsidRPr="003B4244">
        <w:rPr>
          <w:rFonts w:eastAsia="Times New Roman" w:cstheme="minorHAnsi"/>
          <w:spacing w:val="2"/>
        </w:rPr>
        <w:t>r</w:t>
      </w:r>
      <w:r w:rsidR="005E17DF" w:rsidRPr="003B4244">
        <w:rPr>
          <w:rFonts w:eastAsia="Times New Roman" w:cstheme="minorHAnsi"/>
          <w:spacing w:val="-1"/>
        </w:rPr>
        <w:t>a</w:t>
      </w:r>
      <w:r w:rsidR="005E17DF" w:rsidRPr="003B4244">
        <w:rPr>
          <w:rFonts w:eastAsia="Times New Roman" w:cstheme="minorHAnsi"/>
        </w:rPr>
        <w:t xml:space="preserve">l </w:t>
      </w:r>
      <w:r w:rsidR="005E17DF" w:rsidRPr="003B4244">
        <w:rPr>
          <w:rFonts w:eastAsia="Times New Roman" w:cstheme="minorHAnsi"/>
          <w:spacing w:val="-2"/>
        </w:rPr>
        <w:t>B</w:t>
      </w:r>
      <w:r w:rsidR="005E17DF" w:rsidRPr="003B4244">
        <w:rPr>
          <w:rFonts w:eastAsia="Times New Roman" w:cstheme="minorHAnsi"/>
          <w:spacing w:val="-1"/>
        </w:rPr>
        <w:t>a</w:t>
      </w:r>
      <w:r w:rsidR="005E17DF" w:rsidRPr="003B4244">
        <w:rPr>
          <w:rFonts w:eastAsia="Times New Roman" w:cstheme="minorHAnsi"/>
        </w:rPr>
        <w:t>nki</w:t>
      </w:r>
      <w:r w:rsidR="005E17DF" w:rsidRPr="003B4244">
        <w:rPr>
          <w:rFonts w:eastAsia="Times New Roman" w:cstheme="minorHAnsi"/>
          <w:spacing w:val="2"/>
        </w:rPr>
        <w:t>n</w:t>
      </w:r>
      <w:r w:rsidR="005E17DF" w:rsidRPr="003B4244">
        <w:rPr>
          <w:rFonts w:eastAsia="Times New Roman" w:cstheme="minorHAnsi"/>
          <w:spacing w:val="-2"/>
        </w:rPr>
        <w:t>g</w:t>
      </w:r>
      <w:r w:rsidR="005E17DF" w:rsidRPr="003B4244">
        <w:rPr>
          <w:rFonts w:eastAsia="Times New Roman" w:cstheme="minorHAnsi"/>
        </w:rPr>
        <w:t>,</w:t>
      </w:r>
      <w:r w:rsidR="005E17DF" w:rsidRPr="003B4244">
        <w:rPr>
          <w:rFonts w:eastAsia="Times New Roman" w:cstheme="minorHAnsi"/>
          <w:spacing w:val="2"/>
        </w:rPr>
        <w:t xml:space="preserve"> </w:t>
      </w:r>
      <w:r w:rsidR="005E17DF" w:rsidRPr="003B4244">
        <w:rPr>
          <w:rFonts w:eastAsia="Times New Roman" w:cstheme="minorHAnsi"/>
          <w:spacing w:val="-1"/>
        </w:rPr>
        <w:t>a</w:t>
      </w:r>
      <w:r w:rsidR="005E17DF" w:rsidRPr="003B4244">
        <w:rPr>
          <w:rFonts w:eastAsia="Times New Roman" w:cstheme="minorHAnsi"/>
        </w:rPr>
        <w:t>nd the</w:t>
      </w:r>
      <w:r w:rsidR="005E17DF" w:rsidRPr="003B4244">
        <w:rPr>
          <w:rFonts w:eastAsia="Times New Roman" w:cstheme="minorHAnsi"/>
          <w:spacing w:val="-1"/>
        </w:rPr>
        <w:t xml:space="preserve"> F</w:t>
      </w:r>
      <w:r w:rsidR="005E17DF" w:rsidRPr="003B4244">
        <w:rPr>
          <w:rFonts w:eastAsia="Times New Roman" w:cstheme="minorHAnsi"/>
        </w:rPr>
        <w:t>utu</w:t>
      </w:r>
      <w:r w:rsidR="005E17DF" w:rsidRPr="003B4244">
        <w:rPr>
          <w:rFonts w:eastAsia="Times New Roman" w:cstheme="minorHAnsi"/>
          <w:spacing w:val="-1"/>
        </w:rPr>
        <w:t>r</w:t>
      </w:r>
      <w:r w:rsidR="005E17DF" w:rsidRPr="003B4244">
        <w:rPr>
          <w:rFonts w:eastAsia="Times New Roman" w:cstheme="minorHAnsi"/>
        </w:rPr>
        <w:t>e</w:t>
      </w:r>
      <w:r w:rsidR="005E17DF" w:rsidRPr="003B4244">
        <w:rPr>
          <w:rFonts w:eastAsia="Times New Roman" w:cstheme="minorHAnsi"/>
          <w:spacing w:val="1"/>
        </w:rPr>
        <w:t xml:space="preserve"> </w:t>
      </w:r>
      <w:r w:rsidR="005E17DF" w:rsidRPr="003B4244">
        <w:rPr>
          <w:rFonts w:eastAsia="Times New Roman" w:cstheme="minorHAnsi"/>
        </w:rPr>
        <w:t>of</w:t>
      </w:r>
      <w:r w:rsidR="005E17DF" w:rsidRPr="003B4244">
        <w:rPr>
          <w:rFonts w:eastAsia="Times New Roman" w:cstheme="minorHAnsi"/>
          <w:spacing w:val="-1"/>
        </w:rPr>
        <w:t xml:space="preserve"> </w:t>
      </w:r>
      <w:r w:rsidR="005E17DF" w:rsidRPr="003B4244">
        <w:rPr>
          <w:rFonts w:eastAsia="Times New Roman" w:cstheme="minorHAnsi"/>
        </w:rPr>
        <w:t>Glob</w:t>
      </w:r>
      <w:r w:rsidR="005E17DF" w:rsidRPr="003B4244">
        <w:rPr>
          <w:rFonts w:eastAsia="Times New Roman" w:cstheme="minorHAnsi"/>
          <w:spacing w:val="-1"/>
        </w:rPr>
        <w:t>a</w:t>
      </w:r>
      <w:r w:rsidR="005E17DF" w:rsidRPr="003B4244">
        <w:rPr>
          <w:rFonts w:eastAsia="Times New Roman" w:cstheme="minorHAnsi"/>
        </w:rPr>
        <w:t xml:space="preserve">l </w:t>
      </w:r>
      <w:r w:rsidR="005E17DF" w:rsidRPr="003B4244">
        <w:rPr>
          <w:rFonts w:eastAsia="Times New Roman" w:cstheme="minorHAnsi"/>
          <w:spacing w:val="-1"/>
        </w:rPr>
        <w:t>F</w:t>
      </w:r>
      <w:r w:rsidR="005E17DF" w:rsidRPr="003B4244">
        <w:rPr>
          <w:rFonts w:eastAsia="Times New Roman" w:cstheme="minorHAnsi"/>
        </w:rPr>
        <w:t>in</w:t>
      </w:r>
      <w:r w:rsidR="005E17DF" w:rsidRPr="003B4244">
        <w:rPr>
          <w:rFonts w:eastAsia="Times New Roman" w:cstheme="minorHAnsi"/>
          <w:spacing w:val="-1"/>
        </w:rPr>
        <w:t>a</w:t>
      </w:r>
      <w:r w:rsidR="005E17DF" w:rsidRPr="003B4244">
        <w:rPr>
          <w:rFonts w:eastAsia="Times New Roman" w:cstheme="minorHAnsi"/>
        </w:rPr>
        <w:t>n</w:t>
      </w:r>
      <w:r w:rsidR="005E17DF" w:rsidRPr="003B4244">
        <w:rPr>
          <w:rFonts w:eastAsia="Times New Roman" w:cstheme="minorHAnsi"/>
          <w:spacing w:val="1"/>
        </w:rPr>
        <w:t>c</w:t>
      </w:r>
      <w:r w:rsidR="005E17DF" w:rsidRPr="003B4244">
        <w:rPr>
          <w:rFonts w:eastAsia="Times New Roman" w:cstheme="minorHAnsi"/>
          <w:spacing w:val="-1"/>
        </w:rPr>
        <w:t>e</w:t>
      </w:r>
      <w:r w:rsidR="005E17DF" w:rsidRPr="003B4244">
        <w:rPr>
          <w:rFonts w:eastAsia="Times New Roman" w:cstheme="minorHAnsi"/>
        </w:rPr>
        <w:t xml:space="preserve">”.  </w:t>
      </w:r>
      <w:r w:rsidR="005E17DF" w:rsidRPr="003B4244">
        <w:rPr>
          <w:rFonts w:eastAsia="Times New Roman" w:cstheme="minorHAnsi"/>
          <w:spacing w:val="2"/>
        </w:rPr>
        <w:t xml:space="preserve"> </w:t>
      </w:r>
      <w:r w:rsidR="005E17DF" w:rsidRPr="003B4244">
        <w:rPr>
          <w:rFonts w:eastAsia="Times New Roman" w:cstheme="minorHAnsi"/>
          <w:spacing w:val="-3"/>
        </w:rPr>
        <w:t>I</w:t>
      </w:r>
      <w:r w:rsidR="005E17DF" w:rsidRPr="003B4244">
        <w:rPr>
          <w:rFonts w:eastAsia="Times New Roman" w:cstheme="minorHAnsi"/>
        </w:rPr>
        <w:t xml:space="preserve">n </w:t>
      </w:r>
      <w:r w:rsidR="005E17DF" w:rsidRPr="003B4244">
        <w:rPr>
          <w:rFonts w:eastAsia="Times New Roman" w:cstheme="minorHAnsi"/>
          <w:spacing w:val="1"/>
          <w:u w:val="single" w:color="000000"/>
        </w:rPr>
        <w:t>S</w:t>
      </w:r>
      <w:r w:rsidR="005E17DF" w:rsidRPr="003B4244">
        <w:rPr>
          <w:rFonts w:eastAsia="Times New Roman" w:cstheme="minorHAnsi"/>
          <w:u w:val="single" w:color="000000"/>
        </w:rPr>
        <w:t>h</w:t>
      </w:r>
      <w:r w:rsidR="005E17DF" w:rsidRPr="003B4244">
        <w:rPr>
          <w:rFonts w:eastAsia="Times New Roman" w:cstheme="minorHAnsi"/>
          <w:spacing w:val="-1"/>
          <w:u w:val="single" w:color="000000"/>
        </w:rPr>
        <w:t>a</w:t>
      </w:r>
      <w:r w:rsidR="005E17DF" w:rsidRPr="003B4244">
        <w:rPr>
          <w:rFonts w:eastAsia="Times New Roman" w:cstheme="minorHAnsi"/>
          <w:u w:val="single" w:color="000000"/>
        </w:rPr>
        <w:t>d</w:t>
      </w:r>
      <w:r w:rsidR="005E17DF" w:rsidRPr="003B4244">
        <w:rPr>
          <w:rFonts w:eastAsia="Times New Roman" w:cstheme="minorHAnsi"/>
          <w:spacing w:val="2"/>
          <w:u w:val="single" w:color="000000"/>
        </w:rPr>
        <w:t>o</w:t>
      </w:r>
      <w:r w:rsidR="005E17DF" w:rsidRPr="003B4244">
        <w:rPr>
          <w:rFonts w:eastAsia="Times New Roman" w:cstheme="minorHAnsi"/>
          <w:u w:val="single" w:color="000000"/>
        </w:rPr>
        <w:t xml:space="preserve">w </w:t>
      </w:r>
      <w:r w:rsidR="005E17DF" w:rsidRPr="003B4244">
        <w:rPr>
          <w:rFonts w:eastAsia="Times New Roman" w:cstheme="minorHAnsi"/>
          <w:spacing w:val="-2"/>
          <w:u w:val="single" w:color="000000"/>
        </w:rPr>
        <w:t>B</w:t>
      </w:r>
      <w:r w:rsidR="005E17DF" w:rsidRPr="003B4244">
        <w:rPr>
          <w:rFonts w:eastAsia="Times New Roman" w:cstheme="minorHAnsi"/>
          <w:spacing w:val="-1"/>
          <w:u w:val="single" w:color="000000"/>
        </w:rPr>
        <w:t>a</w:t>
      </w:r>
      <w:r w:rsidR="005E17DF" w:rsidRPr="003B4244">
        <w:rPr>
          <w:rFonts w:eastAsia="Times New Roman" w:cstheme="minorHAnsi"/>
          <w:u w:val="single" w:color="000000"/>
        </w:rPr>
        <w:t>nki</w:t>
      </w:r>
      <w:r w:rsidR="005E17DF" w:rsidRPr="003B4244">
        <w:rPr>
          <w:rFonts w:eastAsia="Times New Roman" w:cstheme="minorHAnsi"/>
          <w:spacing w:val="2"/>
          <w:u w:val="single" w:color="000000"/>
        </w:rPr>
        <w:t>n</w:t>
      </w:r>
      <w:r w:rsidR="005E17DF" w:rsidRPr="003B4244">
        <w:rPr>
          <w:rFonts w:eastAsia="Times New Roman" w:cstheme="minorHAnsi"/>
          <w:u w:val="single" w:color="000000"/>
        </w:rPr>
        <w:t>g</w:t>
      </w:r>
      <w:r w:rsidR="005E17DF" w:rsidRPr="003B4244">
        <w:rPr>
          <w:rFonts w:eastAsia="Times New Roman" w:cstheme="minorHAnsi"/>
          <w:spacing w:val="-2"/>
          <w:u w:val="single" w:color="000000"/>
        </w:rPr>
        <w:t xml:space="preserve"> </w:t>
      </w:r>
      <w:r w:rsidR="005E17DF" w:rsidRPr="003B4244">
        <w:rPr>
          <w:rFonts w:eastAsia="Times New Roman" w:cstheme="minorHAnsi"/>
          <w:spacing w:val="1"/>
          <w:u w:val="single" w:color="000000"/>
        </w:rPr>
        <w:t>W</w:t>
      </w:r>
      <w:r w:rsidR="005E17DF" w:rsidRPr="003B4244">
        <w:rPr>
          <w:rFonts w:eastAsia="Times New Roman" w:cstheme="minorHAnsi"/>
          <w:u w:val="single" w:color="000000"/>
        </w:rPr>
        <w:t xml:space="preserve">ithin </w:t>
      </w:r>
      <w:r w:rsidR="005E17DF" w:rsidRPr="003B4244">
        <w:rPr>
          <w:rFonts w:eastAsia="Times New Roman" w:cstheme="minorHAnsi"/>
        </w:rPr>
        <w:t xml:space="preserve"> </w:t>
      </w:r>
      <w:r w:rsidR="005E17DF" w:rsidRPr="003B4244">
        <w:rPr>
          <w:rFonts w:eastAsia="Times New Roman" w:cstheme="minorHAnsi"/>
          <w:spacing w:val="-1"/>
          <w:u w:val="single" w:color="000000"/>
        </w:rPr>
        <w:t>a</w:t>
      </w:r>
      <w:r w:rsidR="005E17DF" w:rsidRPr="003B4244">
        <w:rPr>
          <w:rFonts w:eastAsia="Times New Roman" w:cstheme="minorHAnsi"/>
          <w:u w:val="single" w:color="000000"/>
        </w:rPr>
        <w:t>nd A</w:t>
      </w:r>
      <w:r w:rsidR="005E17DF" w:rsidRPr="003B4244">
        <w:rPr>
          <w:rFonts w:eastAsia="Times New Roman" w:cstheme="minorHAnsi"/>
          <w:spacing w:val="-1"/>
          <w:u w:val="single" w:color="000000"/>
        </w:rPr>
        <w:t>cr</w:t>
      </w:r>
      <w:r w:rsidR="005E17DF" w:rsidRPr="003B4244">
        <w:rPr>
          <w:rFonts w:eastAsia="Times New Roman" w:cstheme="minorHAnsi"/>
          <w:u w:val="single" w:color="000000"/>
        </w:rPr>
        <w:t>oss</w:t>
      </w:r>
      <w:r w:rsidR="005E17DF" w:rsidRPr="003B4244">
        <w:rPr>
          <w:rFonts w:eastAsia="Times New Roman" w:cstheme="minorHAnsi"/>
          <w:spacing w:val="3"/>
          <w:u w:val="single" w:color="000000"/>
        </w:rPr>
        <w:t xml:space="preserve"> </w:t>
      </w:r>
      <w:r w:rsidR="005E17DF" w:rsidRPr="003B4244">
        <w:rPr>
          <w:rFonts w:eastAsia="Times New Roman" w:cstheme="minorHAnsi"/>
          <w:spacing w:val="-2"/>
          <w:u w:val="single" w:color="000000"/>
        </w:rPr>
        <w:t>B</w:t>
      </w:r>
      <w:r w:rsidR="005E17DF" w:rsidRPr="003B4244">
        <w:rPr>
          <w:rFonts w:eastAsia="Times New Roman" w:cstheme="minorHAnsi"/>
          <w:u w:val="single" w:color="000000"/>
        </w:rPr>
        <w:t>o</w:t>
      </w:r>
      <w:r w:rsidR="005E17DF" w:rsidRPr="003B4244">
        <w:rPr>
          <w:rFonts w:eastAsia="Times New Roman" w:cstheme="minorHAnsi"/>
          <w:spacing w:val="-1"/>
          <w:u w:val="single" w:color="000000"/>
        </w:rPr>
        <w:t>r</w:t>
      </w:r>
      <w:r w:rsidR="005E17DF" w:rsidRPr="003B4244">
        <w:rPr>
          <w:rFonts w:eastAsia="Times New Roman" w:cstheme="minorHAnsi"/>
          <w:spacing w:val="2"/>
          <w:u w:val="single" w:color="000000"/>
        </w:rPr>
        <w:t>d</w:t>
      </w:r>
      <w:r w:rsidR="005E17DF" w:rsidRPr="003B4244">
        <w:rPr>
          <w:rFonts w:eastAsia="Times New Roman" w:cstheme="minorHAnsi"/>
          <w:spacing w:val="-1"/>
          <w:u w:val="single" w:color="000000"/>
        </w:rPr>
        <w:t>er</w:t>
      </w:r>
      <w:r w:rsidR="005E17DF" w:rsidRPr="003B4244">
        <w:rPr>
          <w:rFonts w:eastAsia="Times New Roman" w:cstheme="minorHAnsi"/>
          <w:u w:val="single" w:color="000000"/>
        </w:rPr>
        <w:t>s</w:t>
      </w:r>
      <w:r w:rsidR="005E17DF" w:rsidRPr="003B4244">
        <w:rPr>
          <w:rFonts w:eastAsia="Times New Roman" w:cstheme="minorHAnsi"/>
        </w:rPr>
        <w:t xml:space="preserve">, </w:t>
      </w:r>
      <w:r w:rsidR="005E17DF" w:rsidRPr="003B4244">
        <w:rPr>
          <w:rFonts w:eastAsia="Times New Roman" w:cstheme="minorHAnsi"/>
          <w:spacing w:val="-1"/>
        </w:rPr>
        <w:t>e</w:t>
      </w:r>
      <w:r w:rsidR="005E17DF" w:rsidRPr="003B4244">
        <w:rPr>
          <w:rFonts w:eastAsia="Times New Roman" w:cstheme="minorHAnsi"/>
        </w:rPr>
        <w:t>di</w:t>
      </w:r>
      <w:r w:rsidR="005E17DF" w:rsidRPr="003B4244">
        <w:rPr>
          <w:rFonts w:eastAsia="Times New Roman" w:cstheme="minorHAnsi"/>
          <w:spacing w:val="3"/>
        </w:rPr>
        <w:t>t</w:t>
      </w:r>
      <w:r w:rsidR="005E17DF" w:rsidRPr="003B4244">
        <w:rPr>
          <w:rFonts w:eastAsia="Times New Roman" w:cstheme="minorHAnsi"/>
          <w:spacing w:val="-1"/>
        </w:rPr>
        <w:t>e</w:t>
      </w:r>
      <w:r w:rsidR="005E17DF" w:rsidRPr="003B4244">
        <w:rPr>
          <w:rFonts w:eastAsia="Times New Roman" w:cstheme="minorHAnsi"/>
        </w:rPr>
        <w:t xml:space="preserve">d </w:t>
      </w:r>
      <w:r w:rsidR="005E17DF" w:rsidRPr="003B4244">
        <w:rPr>
          <w:rFonts w:eastAsia="Times New Roman" w:cstheme="minorHAnsi"/>
          <w:spacing w:val="2"/>
        </w:rPr>
        <w:t>b</w:t>
      </w:r>
      <w:r w:rsidR="005E17DF" w:rsidRPr="003B4244">
        <w:rPr>
          <w:rFonts w:eastAsia="Times New Roman" w:cstheme="minorHAnsi"/>
        </w:rPr>
        <w:t>y</w:t>
      </w:r>
      <w:r w:rsidR="005E17DF" w:rsidRPr="003B4244">
        <w:rPr>
          <w:rFonts w:eastAsia="Times New Roman" w:cstheme="minorHAnsi"/>
          <w:spacing w:val="-5"/>
        </w:rPr>
        <w:t xml:space="preserve"> </w:t>
      </w:r>
      <w:r w:rsidR="005E17DF" w:rsidRPr="003B4244">
        <w:rPr>
          <w:rFonts w:eastAsia="Times New Roman" w:cstheme="minorHAnsi"/>
          <w:spacing w:val="1"/>
        </w:rPr>
        <w:t>S</w:t>
      </w:r>
      <w:r w:rsidR="005E17DF" w:rsidRPr="003B4244">
        <w:rPr>
          <w:rFonts w:eastAsia="Times New Roman" w:cstheme="minorHAnsi"/>
        </w:rPr>
        <w:t xml:space="preserve">tijn </w:t>
      </w:r>
      <w:r w:rsidR="005E17DF" w:rsidRPr="003B4244">
        <w:rPr>
          <w:rFonts w:eastAsia="Times New Roman" w:cstheme="minorHAnsi"/>
          <w:spacing w:val="1"/>
        </w:rPr>
        <w:t>C</w:t>
      </w:r>
      <w:r w:rsidR="005E17DF" w:rsidRPr="003B4244">
        <w:rPr>
          <w:rFonts w:eastAsia="Times New Roman" w:cstheme="minorHAnsi"/>
        </w:rPr>
        <w:t>l</w:t>
      </w:r>
      <w:r w:rsidR="005E17DF" w:rsidRPr="003B4244">
        <w:rPr>
          <w:rFonts w:eastAsia="Times New Roman" w:cstheme="minorHAnsi"/>
          <w:spacing w:val="-1"/>
        </w:rPr>
        <w:t>ae</w:t>
      </w:r>
      <w:r w:rsidR="005E17DF" w:rsidRPr="003B4244">
        <w:rPr>
          <w:rFonts w:eastAsia="Times New Roman" w:cstheme="minorHAnsi"/>
        </w:rPr>
        <w:t>ss</w:t>
      </w:r>
      <w:r w:rsidR="005E17DF" w:rsidRPr="003B4244">
        <w:rPr>
          <w:rFonts w:eastAsia="Times New Roman" w:cstheme="minorHAnsi"/>
          <w:spacing w:val="-1"/>
        </w:rPr>
        <w:t>e</w:t>
      </w:r>
      <w:r w:rsidR="005E17DF" w:rsidRPr="003B4244">
        <w:rPr>
          <w:rFonts w:eastAsia="Times New Roman" w:cstheme="minorHAnsi"/>
        </w:rPr>
        <w:t xml:space="preserve">ns, </w:t>
      </w:r>
      <w:r w:rsidR="005E17DF" w:rsidRPr="003B4244">
        <w:rPr>
          <w:rFonts w:eastAsia="Times New Roman" w:cstheme="minorHAnsi"/>
          <w:spacing w:val="2"/>
        </w:rPr>
        <w:t>D</w:t>
      </w:r>
      <w:r w:rsidR="005E17DF" w:rsidRPr="003B4244">
        <w:rPr>
          <w:rFonts w:eastAsia="Times New Roman" w:cstheme="minorHAnsi"/>
        </w:rPr>
        <w:t>ou</w:t>
      </w:r>
      <w:r w:rsidR="005E17DF" w:rsidRPr="003B4244">
        <w:rPr>
          <w:rFonts w:eastAsia="Times New Roman" w:cstheme="minorHAnsi"/>
          <w:spacing w:val="-2"/>
        </w:rPr>
        <w:t>g</w:t>
      </w:r>
      <w:r w:rsidR="005E17DF" w:rsidRPr="003B4244">
        <w:rPr>
          <w:rFonts w:eastAsia="Times New Roman" w:cstheme="minorHAnsi"/>
        </w:rPr>
        <w:t>l</w:t>
      </w:r>
      <w:r w:rsidR="005E17DF" w:rsidRPr="003B4244">
        <w:rPr>
          <w:rFonts w:eastAsia="Times New Roman" w:cstheme="minorHAnsi"/>
          <w:spacing w:val="-1"/>
        </w:rPr>
        <w:t>a</w:t>
      </w:r>
      <w:r w:rsidR="005E17DF" w:rsidRPr="003B4244">
        <w:rPr>
          <w:rFonts w:eastAsia="Times New Roman" w:cstheme="minorHAnsi"/>
        </w:rPr>
        <w:t>s E</w:t>
      </w:r>
      <w:r w:rsidR="005E17DF" w:rsidRPr="003B4244">
        <w:rPr>
          <w:rFonts w:eastAsia="Times New Roman" w:cstheme="minorHAnsi"/>
          <w:spacing w:val="2"/>
        </w:rPr>
        <w:t>v</w:t>
      </w:r>
      <w:r w:rsidR="005E17DF" w:rsidRPr="003B4244">
        <w:rPr>
          <w:rFonts w:eastAsia="Times New Roman" w:cstheme="minorHAnsi"/>
          <w:spacing w:val="-1"/>
        </w:rPr>
        <w:t>a</w:t>
      </w:r>
      <w:r w:rsidR="005E17DF" w:rsidRPr="003B4244">
        <w:rPr>
          <w:rFonts w:eastAsia="Times New Roman" w:cstheme="minorHAnsi"/>
        </w:rPr>
        <w:t>no</w:t>
      </w:r>
      <w:r w:rsidR="005E17DF" w:rsidRPr="003B4244">
        <w:rPr>
          <w:rFonts w:eastAsia="Times New Roman" w:cstheme="minorHAnsi"/>
          <w:spacing w:val="-1"/>
        </w:rPr>
        <w:t>ff</w:t>
      </w:r>
      <w:r w:rsidR="005E17DF" w:rsidRPr="003B4244">
        <w:rPr>
          <w:rFonts w:eastAsia="Times New Roman" w:cstheme="minorHAnsi"/>
        </w:rPr>
        <w:t xml:space="preserve">, </w:t>
      </w:r>
      <w:r w:rsidR="005E17DF" w:rsidRPr="003B4244">
        <w:rPr>
          <w:rFonts w:eastAsia="Times New Roman" w:cstheme="minorHAnsi"/>
          <w:spacing w:val="2"/>
        </w:rPr>
        <w:t>G</w:t>
      </w:r>
      <w:r w:rsidR="005E17DF" w:rsidRPr="003B4244">
        <w:rPr>
          <w:rFonts w:eastAsia="Times New Roman" w:cstheme="minorHAnsi"/>
          <w:spacing w:val="-1"/>
        </w:rPr>
        <w:t>e</w:t>
      </w:r>
      <w:r w:rsidR="005E17DF" w:rsidRPr="003B4244">
        <w:rPr>
          <w:rFonts w:eastAsia="Times New Roman" w:cstheme="minorHAnsi"/>
        </w:rPr>
        <w:t>o</w:t>
      </w:r>
      <w:r w:rsidR="005E17DF" w:rsidRPr="003B4244">
        <w:rPr>
          <w:rFonts w:eastAsia="Times New Roman" w:cstheme="minorHAnsi"/>
          <w:spacing w:val="2"/>
        </w:rPr>
        <w:t>r</w:t>
      </w:r>
      <w:r w:rsidR="005E17DF" w:rsidRPr="003B4244">
        <w:rPr>
          <w:rFonts w:eastAsia="Times New Roman" w:cstheme="minorHAnsi"/>
        </w:rPr>
        <w:t>ge</w:t>
      </w:r>
      <w:r w:rsidR="005E17DF" w:rsidRPr="003B4244">
        <w:rPr>
          <w:rFonts w:eastAsia="Times New Roman" w:cstheme="minorHAnsi"/>
          <w:spacing w:val="1"/>
        </w:rPr>
        <w:t xml:space="preserve"> </w:t>
      </w:r>
      <w:r w:rsidR="005E17DF" w:rsidRPr="003B4244">
        <w:rPr>
          <w:rFonts w:eastAsia="Times New Roman" w:cstheme="minorHAnsi"/>
        </w:rPr>
        <w:t>K</w:t>
      </w:r>
      <w:r w:rsidR="005E17DF" w:rsidRPr="003B4244">
        <w:rPr>
          <w:rFonts w:eastAsia="Times New Roman" w:cstheme="minorHAnsi"/>
          <w:spacing w:val="-1"/>
        </w:rPr>
        <w:t>a</w:t>
      </w:r>
      <w:r w:rsidR="005E17DF" w:rsidRPr="003B4244">
        <w:rPr>
          <w:rFonts w:eastAsia="Times New Roman" w:cstheme="minorHAnsi"/>
        </w:rPr>
        <w:t>u</w:t>
      </w:r>
      <w:r w:rsidR="005E17DF" w:rsidRPr="003B4244">
        <w:rPr>
          <w:rFonts w:eastAsia="Times New Roman" w:cstheme="minorHAnsi"/>
          <w:spacing w:val="-1"/>
        </w:rPr>
        <w:t>f</w:t>
      </w:r>
      <w:r w:rsidR="005E17DF" w:rsidRPr="003B4244">
        <w:rPr>
          <w:rFonts w:eastAsia="Times New Roman" w:cstheme="minorHAnsi"/>
        </w:rPr>
        <w:t>m</w:t>
      </w:r>
      <w:r w:rsidR="005E17DF" w:rsidRPr="003B4244">
        <w:rPr>
          <w:rFonts w:eastAsia="Times New Roman" w:cstheme="minorHAnsi"/>
          <w:spacing w:val="-1"/>
        </w:rPr>
        <w:t>a</w:t>
      </w:r>
      <w:r w:rsidR="005E17DF" w:rsidRPr="003B4244">
        <w:rPr>
          <w:rFonts w:eastAsia="Times New Roman" w:cstheme="minorHAnsi"/>
        </w:rPr>
        <w:t xml:space="preserve">n, </w:t>
      </w:r>
      <w:r w:rsidR="005E17DF" w:rsidRPr="003B4244">
        <w:rPr>
          <w:rFonts w:eastAsia="Times New Roman" w:cstheme="minorHAnsi"/>
          <w:spacing w:val="-1"/>
        </w:rPr>
        <w:t>a</w:t>
      </w:r>
      <w:r w:rsidR="005E17DF" w:rsidRPr="003B4244">
        <w:rPr>
          <w:rFonts w:eastAsia="Times New Roman" w:cstheme="minorHAnsi"/>
        </w:rPr>
        <w:t>nd</w:t>
      </w:r>
      <w:r w:rsidR="005E17DF" w:rsidRPr="003B4244">
        <w:rPr>
          <w:rFonts w:eastAsia="Times New Roman" w:cstheme="minorHAnsi"/>
          <w:spacing w:val="5"/>
        </w:rPr>
        <w:t xml:space="preserve"> </w:t>
      </w:r>
      <w:r w:rsidR="005E17DF" w:rsidRPr="003B4244">
        <w:rPr>
          <w:rFonts w:eastAsia="Times New Roman" w:cstheme="minorHAnsi"/>
          <w:spacing w:val="-3"/>
        </w:rPr>
        <w:t>L</w:t>
      </w:r>
      <w:r w:rsidR="005E17DF" w:rsidRPr="003B4244">
        <w:rPr>
          <w:rFonts w:eastAsia="Times New Roman" w:cstheme="minorHAnsi"/>
        </w:rPr>
        <w:t xml:space="preserve">uc </w:t>
      </w:r>
      <w:r w:rsidR="005E17DF" w:rsidRPr="003B4244">
        <w:rPr>
          <w:rFonts w:eastAsia="Times New Roman" w:cstheme="minorHAnsi"/>
          <w:spacing w:val="-3"/>
        </w:rPr>
        <w:t>L</w:t>
      </w:r>
      <w:r w:rsidR="005E17DF" w:rsidRPr="003B4244">
        <w:rPr>
          <w:rFonts w:eastAsia="Times New Roman" w:cstheme="minorHAnsi"/>
          <w:spacing w:val="1"/>
        </w:rPr>
        <w:t>a</w:t>
      </w:r>
      <w:r w:rsidR="005E17DF" w:rsidRPr="003B4244">
        <w:rPr>
          <w:rFonts w:eastAsia="Times New Roman" w:cstheme="minorHAnsi"/>
          <w:spacing w:val="-1"/>
        </w:rPr>
        <w:t>e</w:t>
      </w:r>
      <w:r w:rsidR="005E17DF" w:rsidRPr="003B4244">
        <w:rPr>
          <w:rFonts w:eastAsia="Times New Roman" w:cstheme="minorHAnsi"/>
        </w:rPr>
        <w:t>v</w:t>
      </w:r>
      <w:r w:rsidR="005E17DF" w:rsidRPr="003B4244">
        <w:rPr>
          <w:rFonts w:eastAsia="Times New Roman" w:cstheme="minorHAnsi"/>
          <w:spacing w:val="-1"/>
        </w:rPr>
        <w:t>e</w:t>
      </w:r>
      <w:r w:rsidR="005E17DF" w:rsidRPr="003B4244">
        <w:rPr>
          <w:rFonts w:eastAsia="Times New Roman" w:cstheme="minorHAnsi"/>
        </w:rPr>
        <w:t xml:space="preserve">n.  </w:t>
      </w:r>
      <w:r w:rsidR="005E17DF" w:rsidRPr="003B4244">
        <w:rPr>
          <w:rFonts w:eastAsia="Times New Roman" w:cstheme="minorHAnsi"/>
          <w:spacing w:val="1"/>
        </w:rPr>
        <w:t>W</w:t>
      </w:r>
      <w:r w:rsidR="005E17DF" w:rsidRPr="003B4244">
        <w:rPr>
          <w:rFonts w:eastAsia="Times New Roman" w:cstheme="minorHAnsi"/>
        </w:rPr>
        <w:t>o</w:t>
      </w:r>
      <w:r w:rsidR="005E17DF" w:rsidRPr="003B4244">
        <w:rPr>
          <w:rFonts w:eastAsia="Times New Roman" w:cstheme="minorHAnsi"/>
          <w:spacing w:val="-1"/>
        </w:rPr>
        <w:t>r</w:t>
      </w:r>
      <w:r w:rsidR="005E17DF" w:rsidRPr="003B4244">
        <w:rPr>
          <w:rFonts w:eastAsia="Times New Roman" w:cstheme="minorHAnsi"/>
        </w:rPr>
        <w:t xml:space="preserve">ld </w:t>
      </w:r>
      <w:r w:rsidR="005E17DF" w:rsidRPr="003B4244">
        <w:rPr>
          <w:rFonts w:eastAsia="Times New Roman" w:cstheme="minorHAnsi"/>
          <w:spacing w:val="1"/>
        </w:rPr>
        <w:t>S</w:t>
      </w:r>
      <w:r w:rsidR="005E17DF" w:rsidRPr="003B4244">
        <w:rPr>
          <w:rFonts w:eastAsia="Times New Roman" w:cstheme="minorHAnsi"/>
          <w:spacing w:val="-1"/>
        </w:rPr>
        <w:t>c</w:t>
      </w:r>
      <w:r w:rsidR="005E17DF" w:rsidRPr="003B4244">
        <w:rPr>
          <w:rFonts w:eastAsia="Times New Roman" w:cstheme="minorHAnsi"/>
        </w:rPr>
        <w:t>i</w:t>
      </w:r>
      <w:r w:rsidR="005E17DF" w:rsidRPr="003B4244">
        <w:rPr>
          <w:rFonts w:eastAsia="Times New Roman" w:cstheme="minorHAnsi"/>
          <w:spacing w:val="-1"/>
        </w:rPr>
        <w:t>e</w:t>
      </w:r>
      <w:r w:rsidR="005E17DF" w:rsidRPr="003B4244">
        <w:rPr>
          <w:rFonts w:eastAsia="Times New Roman" w:cstheme="minorHAnsi"/>
        </w:rPr>
        <w:t>nti</w:t>
      </w:r>
      <w:r w:rsidR="005E17DF" w:rsidRPr="003B4244">
        <w:rPr>
          <w:rFonts w:eastAsia="Times New Roman" w:cstheme="minorHAnsi"/>
          <w:spacing w:val="-1"/>
        </w:rPr>
        <w:t>f</w:t>
      </w:r>
      <w:r w:rsidR="005E17DF" w:rsidRPr="003B4244">
        <w:rPr>
          <w:rFonts w:eastAsia="Times New Roman" w:cstheme="minorHAnsi"/>
          <w:spacing w:val="3"/>
        </w:rPr>
        <w:t>i</w:t>
      </w:r>
      <w:r w:rsidR="005E17DF" w:rsidRPr="003B4244">
        <w:rPr>
          <w:rFonts w:eastAsia="Times New Roman" w:cstheme="minorHAnsi"/>
        </w:rPr>
        <w:t>c</w:t>
      </w:r>
      <w:r w:rsidR="005E17DF" w:rsidRPr="003B4244">
        <w:rPr>
          <w:rFonts w:eastAsia="Times New Roman" w:cstheme="minorHAnsi"/>
          <w:spacing w:val="-1"/>
        </w:rPr>
        <w:t xml:space="preserve"> </w:t>
      </w:r>
      <w:r w:rsidR="005E17DF" w:rsidRPr="003B4244">
        <w:rPr>
          <w:rFonts w:eastAsia="Times New Roman" w:cstheme="minorHAnsi"/>
          <w:spacing w:val="1"/>
        </w:rPr>
        <w:t>P</w:t>
      </w:r>
      <w:r w:rsidR="005E17DF" w:rsidRPr="003B4244">
        <w:rPr>
          <w:rFonts w:eastAsia="Times New Roman" w:cstheme="minorHAnsi"/>
        </w:rPr>
        <w:t>ublishin</w:t>
      </w:r>
      <w:r w:rsidR="005E17DF" w:rsidRPr="003B4244">
        <w:rPr>
          <w:rFonts w:eastAsia="Times New Roman" w:cstheme="minorHAnsi"/>
          <w:spacing w:val="-2"/>
        </w:rPr>
        <w:t>g</w:t>
      </w:r>
      <w:r w:rsidR="005E17DF" w:rsidRPr="003B4244">
        <w:rPr>
          <w:rFonts w:eastAsia="Times New Roman" w:cstheme="minorHAnsi"/>
        </w:rPr>
        <w:t>, 2014.</w:t>
      </w:r>
    </w:p>
    <w:p w:rsidR="008A157F" w:rsidRPr="003B4244" w:rsidRDefault="008A157F" w:rsidP="003B4244">
      <w:pPr>
        <w:spacing w:line="360" w:lineRule="auto"/>
        <w:ind w:left="720" w:hanging="720"/>
        <w:rPr>
          <w:rFonts w:cstheme="minorHAnsi"/>
        </w:rPr>
      </w:pPr>
      <w:r>
        <w:rPr>
          <w:rFonts w:eastAsia="Times New Roman" w:cstheme="minorHAnsi"/>
        </w:rPr>
        <w:t xml:space="preserve">Messori, Marcello.  1997.  </w:t>
      </w:r>
      <w:r w:rsidR="001D2BF6">
        <w:rPr>
          <w:rFonts w:eastAsia="Times New Roman" w:cstheme="minorHAnsi"/>
        </w:rPr>
        <w:t>“</w:t>
      </w:r>
      <w:r>
        <w:rPr>
          <w:rFonts w:eastAsia="Times New Roman" w:cstheme="minorHAnsi"/>
        </w:rPr>
        <w:t xml:space="preserve">The Trials and Misadventures of Schumpeter’s Treatise on Money.”  </w:t>
      </w:r>
      <w:r w:rsidRPr="00CB332F">
        <w:rPr>
          <w:rFonts w:eastAsia="Times New Roman" w:cstheme="minorHAnsi"/>
          <w:i/>
        </w:rPr>
        <w:t>History of Political Economy</w:t>
      </w:r>
      <w:r>
        <w:rPr>
          <w:rFonts w:eastAsia="Times New Roman" w:cstheme="minorHAnsi"/>
        </w:rPr>
        <w:t xml:space="preserve"> 29 No. 4:  639-673.</w:t>
      </w:r>
    </w:p>
    <w:p w:rsidR="00924F9B" w:rsidRPr="003B4244" w:rsidRDefault="00AD658A" w:rsidP="003B4244">
      <w:pPr>
        <w:spacing w:line="360" w:lineRule="auto"/>
        <w:ind w:left="720" w:hanging="720"/>
        <w:rPr>
          <w:rFonts w:cstheme="minorHAnsi"/>
        </w:rPr>
      </w:pPr>
      <w:r w:rsidRPr="003B4244">
        <w:rPr>
          <w:rFonts w:cstheme="minorHAnsi"/>
        </w:rPr>
        <w:t>Modigliani, Franco.</w:t>
      </w:r>
      <w:r w:rsidR="005E17DF" w:rsidRPr="003B4244">
        <w:rPr>
          <w:rFonts w:cstheme="minorHAnsi"/>
        </w:rPr>
        <w:t xml:space="preserve">   1944.  </w:t>
      </w:r>
      <w:r w:rsidR="003B4244">
        <w:rPr>
          <w:rFonts w:cstheme="minorHAnsi"/>
        </w:rPr>
        <w:t>“</w:t>
      </w:r>
      <w:r w:rsidR="005E17DF" w:rsidRPr="003B4244">
        <w:rPr>
          <w:rFonts w:cstheme="minorHAnsi"/>
        </w:rPr>
        <w:t>Liquidity Preference and the theory of interest and money.</w:t>
      </w:r>
      <w:r w:rsidR="003B4244">
        <w:rPr>
          <w:rFonts w:cstheme="minorHAnsi"/>
        </w:rPr>
        <w:t>”</w:t>
      </w:r>
      <w:r w:rsidR="005E17DF" w:rsidRPr="003B4244">
        <w:rPr>
          <w:rFonts w:cstheme="minorHAnsi"/>
        </w:rPr>
        <w:t xml:space="preserve">  </w:t>
      </w:r>
      <w:r w:rsidR="00E46F35" w:rsidRPr="003B4244">
        <w:rPr>
          <w:rFonts w:cstheme="minorHAnsi"/>
        </w:rPr>
        <w:t xml:space="preserve">  </w:t>
      </w:r>
      <w:r w:rsidR="00E46F35" w:rsidRPr="00CB332F">
        <w:rPr>
          <w:rFonts w:cstheme="minorHAnsi"/>
          <w:i/>
        </w:rPr>
        <w:t>Econometrica</w:t>
      </w:r>
      <w:r w:rsidR="00E46F35" w:rsidRPr="003B4244">
        <w:rPr>
          <w:rFonts w:cstheme="minorHAnsi"/>
        </w:rPr>
        <w:t xml:space="preserve"> 12:  45-88.</w:t>
      </w:r>
    </w:p>
    <w:p w:rsidR="00F34B8C" w:rsidRPr="003B4244" w:rsidRDefault="00F34B8C" w:rsidP="003B4244">
      <w:pPr>
        <w:spacing w:line="360" w:lineRule="auto"/>
        <w:ind w:left="720" w:hanging="720"/>
        <w:rPr>
          <w:rFonts w:cstheme="minorHAnsi"/>
        </w:rPr>
      </w:pPr>
      <w:r w:rsidRPr="003B4244">
        <w:rPr>
          <w:rFonts w:cstheme="minorHAnsi"/>
        </w:rPr>
        <w:t>Neilson, Daniel</w:t>
      </w:r>
      <w:r w:rsidR="00AD658A" w:rsidRPr="003B4244">
        <w:rPr>
          <w:rFonts w:cstheme="minorHAnsi"/>
        </w:rPr>
        <w:t xml:space="preserve">. </w:t>
      </w:r>
      <w:r w:rsidRPr="003B4244">
        <w:rPr>
          <w:rFonts w:cstheme="minorHAnsi"/>
        </w:rPr>
        <w:t xml:space="preserve"> </w:t>
      </w:r>
      <w:r w:rsidR="005A052D" w:rsidRPr="003B4244">
        <w:rPr>
          <w:rFonts w:cstheme="minorHAnsi"/>
        </w:rPr>
        <w:t xml:space="preserve">2021.  </w:t>
      </w:r>
      <w:r w:rsidR="00CB332F">
        <w:rPr>
          <w:rFonts w:cstheme="minorHAnsi"/>
        </w:rPr>
        <w:t>“</w:t>
      </w:r>
      <w:r w:rsidRPr="003B4244">
        <w:rPr>
          <w:rFonts w:cstheme="minorHAnsi"/>
        </w:rPr>
        <w:t xml:space="preserve">The </w:t>
      </w:r>
      <w:r w:rsidR="005A052D" w:rsidRPr="003B4244">
        <w:rPr>
          <w:rFonts w:cstheme="minorHAnsi"/>
        </w:rPr>
        <w:t>overnight</w:t>
      </w:r>
      <w:r w:rsidRPr="003B4244">
        <w:rPr>
          <w:rFonts w:cstheme="minorHAnsi"/>
        </w:rPr>
        <w:t xml:space="preserve"> rate complex.</w:t>
      </w:r>
      <w:r w:rsidR="00CB332F">
        <w:rPr>
          <w:rFonts w:cstheme="minorHAnsi"/>
        </w:rPr>
        <w:t>”</w:t>
      </w:r>
      <w:r w:rsidR="005A052D" w:rsidRPr="003B4244">
        <w:rPr>
          <w:rFonts w:cstheme="minorHAnsi"/>
        </w:rPr>
        <w:t xml:space="preserve">  https://www.soonparted.co/p/overnight-rate-complex.</w:t>
      </w:r>
    </w:p>
    <w:p w:rsidR="00AD658A" w:rsidRPr="003B4244" w:rsidRDefault="00E15E88" w:rsidP="003B4244">
      <w:pPr>
        <w:spacing w:line="360" w:lineRule="auto"/>
        <w:ind w:left="720" w:hanging="720"/>
        <w:rPr>
          <w:rFonts w:cstheme="minorHAnsi"/>
        </w:rPr>
      </w:pPr>
      <w:r w:rsidRPr="003B4244">
        <w:rPr>
          <w:rFonts w:cstheme="minorHAnsi"/>
        </w:rPr>
        <w:t xml:space="preserve">Patinkin, Don.  1956.  </w:t>
      </w:r>
      <w:r w:rsidRPr="003B4244">
        <w:rPr>
          <w:rFonts w:cstheme="minorHAnsi"/>
          <w:i/>
        </w:rPr>
        <w:t>Money, Interest and Prices; an integration of monetary and value theory</w:t>
      </w:r>
      <w:r w:rsidRPr="003B4244">
        <w:rPr>
          <w:rFonts w:cstheme="minorHAnsi"/>
        </w:rPr>
        <w:t>.  Evanston, Ill.:  Row, Peterson.</w:t>
      </w:r>
    </w:p>
    <w:p w:rsidR="005A052D" w:rsidRDefault="005A052D" w:rsidP="003B4244">
      <w:pPr>
        <w:spacing w:line="360" w:lineRule="auto"/>
        <w:ind w:left="720" w:hanging="720"/>
        <w:rPr>
          <w:rFonts w:cstheme="minorHAnsi"/>
        </w:rPr>
      </w:pPr>
      <w:r w:rsidRPr="003B4244">
        <w:rPr>
          <w:rFonts w:cstheme="minorHAnsi"/>
        </w:rPr>
        <w:t xml:space="preserve">Schumpeter, Joseph A.  1954.  </w:t>
      </w:r>
      <w:r w:rsidRPr="003B4244">
        <w:rPr>
          <w:rFonts w:cstheme="minorHAnsi"/>
          <w:i/>
        </w:rPr>
        <w:t>History of Economic Analysis</w:t>
      </w:r>
      <w:r w:rsidRPr="003B4244">
        <w:rPr>
          <w:rFonts w:cstheme="minorHAnsi"/>
        </w:rPr>
        <w:t>.  New York:  Oxford University Press</w:t>
      </w:r>
      <w:r w:rsidR="00F65827">
        <w:rPr>
          <w:rFonts w:cstheme="minorHAnsi"/>
        </w:rPr>
        <w:t>.</w:t>
      </w:r>
    </w:p>
    <w:p w:rsidR="00F65827" w:rsidRPr="003B4244" w:rsidRDefault="00F65827" w:rsidP="003B4244">
      <w:pPr>
        <w:spacing w:line="360" w:lineRule="auto"/>
        <w:ind w:left="720" w:hanging="720"/>
        <w:rPr>
          <w:rFonts w:cstheme="minorHAnsi"/>
        </w:rPr>
      </w:pPr>
      <w:r>
        <w:rPr>
          <w:rFonts w:cstheme="minorHAnsi"/>
        </w:rPr>
        <w:t xml:space="preserve">Schumpeter, Joseph A.  2014.  </w:t>
      </w:r>
      <w:r w:rsidRPr="00CB332F">
        <w:rPr>
          <w:rFonts w:cstheme="minorHAnsi"/>
          <w:i/>
        </w:rPr>
        <w:t>Treatise on Money</w:t>
      </w:r>
      <w:r>
        <w:rPr>
          <w:rFonts w:cstheme="minorHAnsi"/>
        </w:rPr>
        <w:t>.  Edited by Fritz Karl Mann, translated by Ruben Alvarado.  Aalten, Netherlands:  Wordbridge Publishing.</w:t>
      </w:r>
    </w:p>
    <w:p w:rsidR="00AD658A" w:rsidRPr="003B4244" w:rsidRDefault="00AD658A" w:rsidP="003B4244">
      <w:pPr>
        <w:spacing w:line="360" w:lineRule="auto"/>
        <w:ind w:left="720" w:hanging="720"/>
        <w:rPr>
          <w:rFonts w:cstheme="minorHAnsi"/>
        </w:rPr>
      </w:pPr>
      <w:r w:rsidRPr="003B4244">
        <w:rPr>
          <w:rFonts w:cstheme="minorHAnsi"/>
        </w:rPr>
        <w:t xml:space="preserve">Tobin, James.  1969.  </w:t>
      </w:r>
      <w:r w:rsidR="009248BE" w:rsidRPr="003B4244">
        <w:rPr>
          <w:rFonts w:cstheme="minorHAnsi"/>
        </w:rPr>
        <w:t>“</w:t>
      </w:r>
      <w:r w:rsidRPr="003B4244">
        <w:rPr>
          <w:rFonts w:cstheme="minorHAnsi"/>
        </w:rPr>
        <w:t>A General Equil</w:t>
      </w:r>
      <w:r w:rsidR="00D70B1E" w:rsidRPr="003B4244">
        <w:rPr>
          <w:rFonts w:cstheme="minorHAnsi"/>
        </w:rPr>
        <w:t>i</w:t>
      </w:r>
      <w:r w:rsidRPr="003B4244">
        <w:rPr>
          <w:rFonts w:cstheme="minorHAnsi"/>
        </w:rPr>
        <w:t>brium Theory of Money</w:t>
      </w:r>
      <w:r w:rsidR="00E15E88" w:rsidRPr="003B4244">
        <w:rPr>
          <w:rFonts w:cstheme="minorHAnsi"/>
        </w:rPr>
        <w:t>.</w:t>
      </w:r>
      <w:r w:rsidR="009248BE" w:rsidRPr="003B4244">
        <w:rPr>
          <w:rFonts w:cstheme="minorHAnsi"/>
        </w:rPr>
        <w:t>”</w:t>
      </w:r>
      <w:r w:rsidR="00E15E88" w:rsidRPr="003B4244">
        <w:rPr>
          <w:rFonts w:cstheme="minorHAnsi"/>
        </w:rPr>
        <w:t xml:space="preserve">  </w:t>
      </w:r>
      <w:r w:rsidR="00E15E88" w:rsidRPr="003B4244">
        <w:rPr>
          <w:rFonts w:cstheme="minorHAnsi"/>
          <w:i/>
        </w:rPr>
        <w:t>Journal of Money, Credit and Banking</w:t>
      </w:r>
      <w:r w:rsidR="00E15E88" w:rsidRPr="003B4244">
        <w:rPr>
          <w:rFonts w:cstheme="minorHAnsi"/>
        </w:rPr>
        <w:t>.</w:t>
      </w:r>
      <w:r w:rsidR="00E46F35" w:rsidRPr="003B4244">
        <w:rPr>
          <w:rFonts w:cstheme="minorHAnsi"/>
        </w:rPr>
        <w:t xml:space="preserve"> 1 No. 1 (February):  15-29.</w:t>
      </w:r>
    </w:p>
    <w:p w:rsidR="00E46F35" w:rsidRPr="003B4244" w:rsidRDefault="00E46F35" w:rsidP="003B4244">
      <w:pPr>
        <w:spacing w:line="360" w:lineRule="auto"/>
        <w:ind w:left="720" w:hanging="720"/>
        <w:rPr>
          <w:rFonts w:cstheme="minorHAnsi"/>
        </w:rPr>
      </w:pPr>
      <w:r w:rsidRPr="003B4244">
        <w:rPr>
          <w:rFonts w:cstheme="minorHAnsi"/>
        </w:rPr>
        <w:t>Tooke, Thomas.</w:t>
      </w:r>
      <w:r w:rsidR="008A157F">
        <w:rPr>
          <w:rFonts w:cstheme="minorHAnsi"/>
        </w:rPr>
        <w:t xml:space="preserve">  1844.  </w:t>
      </w:r>
      <w:r w:rsidR="008A157F" w:rsidRPr="00CB332F">
        <w:rPr>
          <w:rFonts w:cstheme="minorHAnsi"/>
          <w:i/>
        </w:rPr>
        <w:t>An Inquiry into the Currency Principle</w:t>
      </w:r>
      <w:r w:rsidR="008A157F">
        <w:rPr>
          <w:rFonts w:cstheme="minorHAnsi"/>
        </w:rPr>
        <w:t>.  London:  Longman, Brown, Green, and Longmans.</w:t>
      </w:r>
    </w:p>
    <w:p w:rsidR="00915C4B" w:rsidRPr="003B4244" w:rsidRDefault="0035344E" w:rsidP="003B4244">
      <w:pPr>
        <w:spacing w:line="360" w:lineRule="auto"/>
        <w:ind w:left="720" w:hanging="720"/>
        <w:rPr>
          <w:rFonts w:cstheme="minorHAnsi"/>
        </w:rPr>
      </w:pPr>
      <w:r w:rsidRPr="003B4244">
        <w:rPr>
          <w:rFonts w:cstheme="minorHAnsi"/>
        </w:rPr>
        <w:t>Treynor</w:t>
      </w:r>
      <w:r w:rsidR="00AD658A" w:rsidRPr="003B4244">
        <w:rPr>
          <w:rFonts w:cstheme="minorHAnsi"/>
        </w:rPr>
        <w:t>, Jack.</w:t>
      </w:r>
      <w:r w:rsidRPr="003B4244">
        <w:rPr>
          <w:rFonts w:cstheme="minorHAnsi"/>
        </w:rPr>
        <w:t xml:space="preserve"> </w:t>
      </w:r>
      <w:r w:rsidR="00AD658A" w:rsidRPr="003B4244">
        <w:rPr>
          <w:rFonts w:cstheme="minorHAnsi"/>
        </w:rPr>
        <w:t xml:space="preserve"> </w:t>
      </w:r>
      <w:r w:rsidRPr="003B4244">
        <w:rPr>
          <w:rFonts w:cstheme="minorHAnsi"/>
        </w:rPr>
        <w:t>1987</w:t>
      </w:r>
      <w:r w:rsidR="00AD658A" w:rsidRPr="003B4244">
        <w:rPr>
          <w:rFonts w:cstheme="minorHAnsi"/>
        </w:rPr>
        <w:t xml:space="preserve">. </w:t>
      </w:r>
      <w:r w:rsidRPr="003B4244">
        <w:rPr>
          <w:rFonts w:cstheme="minorHAnsi"/>
        </w:rPr>
        <w:t xml:space="preserve"> </w:t>
      </w:r>
      <w:r w:rsidR="009248BE" w:rsidRPr="003B4244">
        <w:rPr>
          <w:rFonts w:cstheme="minorHAnsi"/>
        </w:rPr>
        <w:t>“</w:t>
      </w:r>
      <w:r w:rsidRPr="003B4244">
        <w:rPr>
          <w:rFonts w:cstheme="minorHAnsi"/>
        </w:rPr>
        <w:t>Economics of the Dealer Function</w:t>
      </w:r>
      <w:r w:rsidR="00E15E88" w:rsidRPr="003B4244">
        <w:rPr>
          <w:rFonts w:cstheme="minorHAnsi"/>
        </w:rPr>
        <w:t>.</w:t>
      </w:r>
      <w:r w:rsidR="009248BE" w:rsidRPr="003B4244">
        <w:rPr>
          <w:rFonts w:cstheme="minorHAnsi"/>
        </w:rPr>
        <w:t>”</w:t>
      </w:r>
      <w:r w:rsidR="00E15E88" w:rsidRPr="003B4244">
        <w:rPr>
          <w:rFonts w:cstheme="minorHAnsi"/>
        </w:rPr>
        <w:t xml:space="preserve">  </w:t>
      </w:r>
      <w:r w:rsidR="00E15E88" w:rsidRPr="003B4244">
        <w:rPr>
          <w:rFonts w:cstheme="minorHAnsi"/>
          <w:i/>
        </w:rPr>
        <w:t>Financial Analysts Journal</w:t>
      </w:r>
      <w:r w:rsidR="00924F9B" w:rsidRPr="003B4244">
        <w:rPr>
          <w:rFonts w:cstheme="minorHAnsi"/>
        </w:rPr>
        <w:t xml:space="preserve"> </w:t>
      </w:r>
      <w:r w:rsidR="00F65827">
        <w:rPr>
          <w:rFonts w:cstheme="minorHAnsi"/>
        </w:rPr>
        <w:t>43 (6):  27-34.</w:t>
      </w:r>
    </w:p>
    <w:p w:rsidR="00E46F35" w:rsidRDefault="00F65827" w:rsidP="003B4244">
      <w:pPr>
        <w:spacing w:line="360" w:lineRule="auto"/>
        <w:ind w:left="720" w:hanging="720"/>
        <w:rPr>
          <w:rFonts w:cstheme="minorHAnsi"/>
        </w:rPr>
      </w:pPr>
      <w:r>
        <w:rPr>
          <w:rFonts w:cstheme="minorHAnsi"/>
        </w:rPr>
        <w:t xml:space="preserve">Willis, Henry Parker.  1923.  </w:t>
      </w:r>
      <w:r w:rsidRPr="00CB332F">
        <w:rPr>
          <w:rFonts w:cstheme="minorHAnsi"/>
          <w:i/>
        </w:rPr>
        <w:t>The Federal Reserve System:  Legislation, Organization and Operation</w:t>
      </w:r>
      <w:r>
        <w:rPr>
          <w:rFonts w:cstheme="minorHAnsi"/>
        </w:rPr>
        <w:t>.  New York:  Ronald Press.</w:t>
      </w:r>
    </w:p>
    <w:p w:rsidR="00C82B8F" w:rsidRPr="003B4244" w:rsidRDefault="00C82B8F" w:rsidP="003B4244">
      <w:pPr>
        <w:spacing w:line="360" w:lineRule="auto"/>
        <w:ind w:left="720" w:hanging="720"/>
        <w:rPr>
          <w:rFonts w:cstheme="minorHAnsi"/>
        </w:rPr>
      </w:pPr>
      <w:r>
        <w:rPr>
          <w:rFonts w:cstheme="minorHAnsi"/>
        </w:rPr>
        <w:t xml:space="preserve">Wicksell, Knut.  1936.  </w:t>
      </w:r>
      <w:r w:rsidRPr="00C82B8F">
        <w:rPr>
          <w:rFonts w:cstheme="minorHAnsi"/>
          <w:i/>
        </w:rPr>
        <w:t>Interest and Prices:  a study of the causes regulating the value of money</w:t>
      </w:r>
      <w:r>
        <w:rPr>
          <w:rFonts w:cstheme="minorHAnsi"/>
        </w:rPr>
        <w:t>.  London:  Macmillan and Co.</w:t>
      </w:r>
    </w:p>
    <w:p w:rsidR="009248BE" w:rsidRPr="003B4244" w:rsidRDefault="009248BE" w:rsidP="003B4244">
      <w:pPr>
        <w:spacing w:line="360" w:lineRule="auto"/>
        <w:ind w:left="720" w:hanging="720"/>
        <w:rPr>
          <w:rFonts w:cstheme="minorHAnsi"/>
        </w:rPr>
      </w:pPr>
      <w:r w:rsidRPr="003B4244">
        <w:rPr>
          <w:rFonts w:cstheme="minorHAnsi"/>
        </w:rPr>
        <w:t xml:space="preserve">Woodford, Michael.  2003.  </w:t>
      </w:r>
      <w:r w:rsidRPr="003B4244">
        <w:rPr>
          <w:rFonts w:cstheme="minorHAnsi"/>
          <w:i/>
        </w:rPr>
        <w:t>Interest and Prices:  Foundations of a theory of monetary policy</w:t>
      </w:r>
      <w:r w:rsidRPr="003B4244">
        <w:rPr>
          <w:rFonts w:cstheme="minorHAnsi"/>
        </w:rPr>
        <w:t>.  Princeton University Press.</w:t>
      </w:r>
    </w:p>
    <w:sectPr w:rsidR="009248BE" w:rsidRPr="003B4244" w:rsidSect="00553F13">
      <w:footerReference w:type="default" r:id="rId3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5A45" w:rsidRDefault="001B5A45" w:rsidP="00ED4966">
      <w:pPr>
        <w:spacing w:after="0" w:line="240" w:lineRule="auto"/>
      </w:pPr>
      <w:r>
        <w:separator/>
      </w:r>
    </w:p>
  </w:endnote>
  <w:endnote w:type="continuationSeparator" w:id="0">
    <w:p w:rsidR="001B5A45" w:rsidRDefault="001B5A45" w:rsidP="00ED4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43501"/>
      <w:docPartObj>
        <w:docPartGallery w:val="Page Numbers (Bottom of Page)"/>
        <w:docPartUnique/>
      </w:docPartObj>
    </w:sdtPr>
    <w:sdtEndPr>
      <w:rPr>
        <w:noProof/>
      </w:rPr>
    </w:sdtEndPr>
    <w:sdtContent>
      <w:p w:rsidR="001D70C3" w:rsidRDefault="001D70C3">
        <w:pPr>
          <w:pStyle w:val="Pieddepage"/>
          <w:jc w:val="center"/>
        </w:pPr>
        <w:r>
          <w:fldChar w:fldCharType="begin"/>
        </w:r>
        <w:r>
          <w:instrText xml:space="preserve"> PAGE   \* MERGEFORMAT </w:instrText>
        </w:r>
        <w:r>
          <w:fldChar w:fldCharType="separate"/>
        </w:r>
        <w:r w:rsidR="007D76FC">
          <w:rPr>
            <w:noProof/>
          </w:rPr>
          <w:t>46</w:t>
        </w:r>
        <w:r>
          <w:rPr>
            <w:noProof/>
          </w:rPr>
          <w:fldChar w:fldCharType="end"/>
        </w:r>
      </w:p>
    </w:sdtContent>
  </w:sdt>
  <w:p w:rsidR="001D70C3" w:rsidRDefault="001D70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5A45" w:rsidRDefault="001B5A45" w:rsidP="00ED4966">
      <w:pPr>
        <w:spacing w:after="0" w:line="240" w:lineRule="auto"/>
      </w:pPr>
      <w:r>
        <w:separator/>
      </w:r>
    </w:p>
  </w:footnote>
  <w:footnote w:type="continuationSeparator" w:id="0">
    <w:p w:rsidR="001B5A45" w:rsidRDefault="001B5A45" w:rsidP="00ED4966">
      <w:pPr>
        <w:spacing w:after="0" w:line="240" w:lineRule="auto"/>
      </w:pPr>
      <w:r>
        <w:continuationSeparator/>
      </w:r>
    </w:p>
  </w:footnote>
  <w:footnote w:id="1">
    <w:p w:rsidR="001D70C3" w:rsidRDefault="001D70C3">
      <w:pPr>
        <w:pStyle w:val="Notedebasdepage"/>
      </w:pPr>
      <w:r>
        <w:rPr>
          <w:rStyle w:val="Appelnotedebasdep"/>
        </w:rPr>
        <w:footnoteRef/>
      </w:r>
      <w:r>
        <w:t xml:space="preserve"> Schumpeter’s own attempt at a credit theory of money, drafted largely in 1925-1934, was only published posthumously (Schumpeter 2014).  Messori (1997) tells the story.</w:t>
      </w:r>
    </w:p>
  </w:footnote>
  <w:footnote w:id="2">
    <w:p w:rsidR="001D70C3" w:rsidRDefault="001D70C3">
      <w:pPr>
        <w:pStyle w:val="Notedebasdepage"/>
      </w:pPr>
      <w:r>
        <w:rPr>
          <w:rStyle w:val="Appelnotedebasdep"/>
        </w:rPr>
        <w:footnoteRef/>
      </w:r>
      <w:r>
        <w:t xml:space="preserve"> On this point I have taken inspiration from Hicks (1989) who I interpret as himself building on the British central banking tradition mentioned above.</w:t>
      </w:r>
    </w:p>
  </w:footnote>
  <w:footnote w:id="3">
    <w:p w:rsidR="001D70C3" w:rsidRDefault="001D70C3">
      <w:pPr>
        <w:pStyle w:val="Notedebasdepage"/>
      </w:pPr>
      <w:r>
        <w:rPr>
          <w:rStyle w:val="Appelnotedebasdep"/>
        </w:rPr>
        <w:footnoteRef/>
      </w:r>
      <w:r>
        <w:t xml:space="preserve"> Brunnermeier and Pedersen (2009) call these possibilities “funding liquidity” and “market liquidity” respectively.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7466D6"/>
    <w:multiLevelType w:val="hybridMultilevel"/>
    <w:tmpl w:val="17AA4C28"/>
    <w:lvl w:ilvl="0" w:tplc="2D9298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D85017"/>
    <w:multiLevelType w:val="hybridMultilevel"/>
    <w:tmpl w:val="9222D0CA"/>
    <w:lvl w:ilvl="0" w:tplc="97309E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D86619"/>
    <w:multiLevelType w:val="hybridMultilevel"/>
    <w:tmpl w:val="10DAE47A"/>
    <w:lvl w:ilvl="0" w:tplc="D1A0872A">
      <w:start w:val="1"/>
      <w:numFmt w:val="decimal"/>
      <w:lvlText w:val="%1."/>
      <w:lvlJc w:val="left"/>
      <w:pPr>
        <w:tabs>
          <w:tab w:val="num" w:pos="720"/>
        </w:tabs>
        <w:ind w:left="720" w:hanging="360"/>
      </w:pPr>
    </w:lvl>
    <w:lvl w:ilvl="1" w:tplc="F1F259F4" w:tentative="1">
      <w:start w:val="1"/>
      <w:numFmt w:val="decimal"/>
      <w:lvlText w:val="%2."/>
      <w:lvlJc w:val="left"/>
      <w:pPr>
        <w:tabs>
          <w:tab w:val="num" w:pos="1440"/>
        </w:tabs>
        <w:ind w:left="1440" w:hanging="360"/>
      </w:pPr>
    </w:lvl>
    <w:lvl w:ilvl="2" w:tplc="427CF146" w:tentative="1">
      <w:start w:val="1"/>
      <w:numFmt w:val="decimal"/>
      <w:lvlText w:val="%3."/>
      <w:lvlJc w:val="left"/>
      <w:pPr>
        <w:tabs>
          <w:tab w:val="num" w:pos="2160"/>
        </w:tabs>
        <w:ind w:left="2160" w:hanging="360"/>
      </w:pPr>
    </w:lvl>
    <w:lvl w:ilvl="3" w:tplc="D302782A" w:tentative="1">
      <w:start w:val="1"/>
      <w:numFmt w:val="decimal"/>
      <w:lvlText w:val="%4."/>
      <w:lvlJc w:val="left"/>
      <w:pPr>
        <w:tabs>
          <w:tab w:val="num" w:pos="2880"/>
        </w:tabs>
        <w:ind w:left="2880" w:hanging="360"/>
      </w:pPr>
    </w:lvl>
    <w:lvl w:ilvl="4" w:tplc="85E2CE08" w:tentative="1">
      <w:start w:val="1"/>
      <w:numFmt w:val="decimal"/>
      <w:lvlText w:val="%5."/>
      <w:lvlJc w:val="left"/>
      <w:pPr>
        <w:tabs>
          <w:tab w:val="num" w:pos="3600"/>
        </w:tabs>
        <w:ind w:left="3600" w:hanging="360"/>
      </w:pPr>
    </w:lvl>
    <w:lvl w:ilvl="5" w:tplc="7E948BE0" w:tentative="1">
      <w:start w:val="1"/>
      <w:numFmt w:val="decimal"/>
      <w:lvlText w:val="%6."/>
      <w:lvlJc w:val="left"/>
      <w:pPr>
        <w:tabs>
          <w:tab w:val="num" w:pos="4320"/>
        </w:tabs>
        <w:ind w:left="4320" w:hanging="360"/>
      </w:pPr>
    </w:lvl>
    <w:lvl w:ilvl="6" w:tplc="9B908004" w:tentative="1">
      <w:start w:val="1"/>
      <w:numFmt w:val="decimal"/>
      <w:lvlText w:val="%7."/>
      <w:lvlJc w:val="left"/>
      <w:pPr>
        <w:tabs>
          <w:tab w:val="num" w:pos="5040"/>
        </w:tabs>
        <w:ind w:left="5040" w:hanging="360"/>
      </w:pPr>
    </w:lvl>
    <w:lvl w:ilvl="7" w:tplc="B840DFBC" w:tentative="1">
      <w:start w:val="1"/>
      <w:numFmt w:val="decimal"/>
      <w:lvlText w:val="%8."/>
      <w:lvlJc w:val="left"/>
      <w:pPr>
        <w:tabs>
          <w:tab w:val="num" w:pos="5760"/>
        </w:tabs>
        <w:ind w:left="5760" w:hanging="360"/>
      </w:pPr>
    </w:lvl>
    <w:lvl w:ilvl="8" w:tplc="F42CFB40"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19"/>
    <w:rsid w:val="00017136"/>
    <w:rsid w:val="00021B58"/>
    <w:rsid w:val="00021E67"/>
    <w:rsid w:val="00022F73"/>
    <w:rsid w:val="000267DD"/>
    <w:rsid w:val="00027CBF"/>
    <w:rsid w:val="000339AC"/>
    <w:rsid w:val="0003605D"/>
    <w:rsid w:val="00044618"/>
    <w:rsid w:val="0006195B"/>
    <w:rsid w:val="000679E0"/>
    <w:rsid w:val="00077F7E"/>
    <w:rsid w:val="00081BF1"/>
    <w:rsid w:val="00094DEB"/>
    <w:rsid w:val="000A5BA9"/>
    <w:rsid w:val="000B4876"/>
    <w:rsid w:val="000D01D8"/>
    <w:rsid w:val="001001DE"/>
    <w:rsid w:val="00111C36"/>
    <w:rsid w:val="001370CF"/>
    <w:rsid w:val="001403D0"/>
    <w:rsid w:val="00160031"/>
    <w:rsid w:val="00164DCF"/>
    <w:rsid w:val="00171FFD"/>
    <w:rsid w:val="001B244F"/>
    <w:rsid w:val="001B5A0A"/>
    <w:rsid w:val="001B5A45"/>
    <w:rsid w:val="001C1AE2"/>
    <w:rsid w:val="001D2BF6"/>
    <w:rsid w:val="001D70C3"/>
    <w:rsid w:val="00207BA8"/>
    <w:rsid w:val="00217D4D"/>
    <w:rsid w:val="00241C10"/>
    <w:rsid w:val="002460E7"/>
    <w:rsid w:val="002527EC"/>
    <w:rsid w:val="00291775"/>
    <w:rsid w:val="002B6626"/>
    <w:rsid w:val="002C03E1"/>
    <w:rsid w:val="002E2B26"/>
    <w:rsid w:val="002F2BCE"/>
    <w:rsid w:val="0030410B"/>
    <w:rsid w:val="0035344E"/>
    <w:rsid w:val="003A512F"/>
    <w:rsid w:val="003A6E56"/>
    <w:rsid w:val="003B4244"/>
    <w:rsid w:val="003C094F"/>
    <w:rsid w:val="003F57B0"/>
    <w:rsid w:val="004053CF"/>
    <w:rsid w:val="00422CA1"/>
    <w:rsid w:val="00436F9E"/>
    <w:rsid w:val="00437CE1"/>
    <w:rsid w:val="004422A9"/>
    <w:rsid w:val="00443BBB"/>
    <w:rsid w:val="00455100"/>
    <w:rsid w:val="00484368"/>
    <w:rsid w:val="004A05E3"/>
    <w:rsid w:val="004B4702"/>
    <w:rsid w:val="004D2290"/>
    <w:rsid w:val="005008A6"/>
    <w:rsid w:val="00507905"/>
    <w:rsid w:val="00515526"/>
    <w:rsid w:val="00527EA7"/>
    <w:rsid w:val="00553670"/>
    <w:rsid w:val="00553F13"/>
    <w:rsid w:val="005616BD"/>
    <w:rsid w:val="0056201B"/>
    <w:rsid w:val="00571C50"/>
    <w:rsid w:val="005A052D"/>
    <w:rsid w:val="005B7EBB"/>
    <w:rsid w:val="005D2EF2"/>
    <w:rsid w:val="005E17DF"/>
    <w:rsid w:val="005F7669"/>
    <w:rsid w:val="00616BFE"/>
    <w:rsid w:val="00632940"/>
    <w:rsid w:val="00663A05"/>
    <w:rsid w:val="00681AE0"/>
    <w:rsid w:val="00682A12"/>
    <w:rsid w:val="006B65FC"/>
    <w:rsid w:val="006C1F0D"/>
    <w:rsid w:val="006D1886"/>
    <w:rsid w:val="006D64B9"/>
    <w:rsid w:val="006E2E9B"/>
    <w:rsid w:val="006F5620"/>
    <w:rsid w:val="00746553"/>
    <w:rsid w:val="007503A9"/>
    <w:rsid w:val="0077694A"/>
    <w:rsid w:val="007A1100"/>
    <w:rsid w:val="007B6A2B"/>
    <w:rsid w:val="007B6C38"/>
    <w:rsid w:val="007C536D"/>
    <w:rsid w:val="007D0F82"/>
    <w:rsid w:val="007D76FC"/>
    <w:rsid w:val="007E288B"/>
    <w:rsid w:val="008055DE"/>
    <w:rsid w:val="00817002"/>
    <w:rsid w:val="00827EE6"/>
    <w:rsid w:val="00844120"/>
    <w:rsid w:val="00851949"/>
    <w:rsid w:val="00855DDD"/>
    <w:rsid w:val="008561AC"/>
    <w:rsid w:val="008767B2"/>
    <w:rsid w:val="00876B75"/>
    <w:rsid w:val="008772A1"/>
    <w:rsid w:val="00881215"/>
    <w:rsid w:val="0088240E"/>
    <w:rsid w:val="00883169"/>
    <w:rsid w:val="008A157F"/>
    <w:rsid w:val="008B3B86"/>
    <w:rsid w:val="008C0A6F"/>
    <w:rsid w:val="008C214B"/>
    <w:rsid w:val="009013C1"/>
    <w:rsid w:val="0090426D"/>
    <w:rsid w:val="00915C4B"/>
    <w:rsid w:val="009209FC"/>
    <w:rsid w:val="009248BE"/>
    <w:rsid w:val="00924F9B"/>
    <w:rsid w:val="009636A9"/>
    <w:rsid w:val="00997A77"/>
    <w:rsid w:val="009C06CE"/>
    <w:rsid w:val="009C2561"/>
    <w:rsid w:val="009C2F29"/>
    <w:rsid w:val="009D29E7"/>
    <w:rsid w:val="009E5BC0"/>
    <w:rsid w:val="00A32DEC"/>
    <w:rsid w:val="00A45547"/>
    <w:rsid w:val="00A51380"/>
    <w:rsid w:val="00A71F94"/>
    <w:rsid w:val="00A82384"/>
    <w:rsid w:val="00A9222B"/>
    <w:rsid w:val="00AB2361"/>
    <w:rsid w:val="00AC7025"/>
    <w:rsid w:val="00AD658A"/>
    <w:rsid w:val="00AF4C85"/>
    <w:rsid w:val="00AF68D6"/>
    <w:rsid w:val="00B13B6B"/>
    <w:rsid w:val="00B30F30"/>
    <w:rsid w:val="00B32357"/>
    <w:rsid w:val="00B32F5E"/>
    <w:rsid w:val="00B351FC"/>
    <w:rsid w:val="00B66941"/>
    <w:rsid w:val="00B7189F"/>
    <w:rsid w:val="00B74F23"/>
    <w:rsid w:val="00B846B9"/>
    <w:rsid w:val="00BC4A7E"/>
    <w:rsid w:val="00BC5734"/>
    <w:rsid w:val="00BD1910"/>
    <w:rsid w:val="00BD2A1D"/>
    <w:rsid w:val="00BF21B8"/>
    <w:rsid w:val="00BF708E"/>
    <w:rsid w:val="00C02A63"/>
    <w:rsid w:val="00C104CB"/>
    <w:rsid w:val="00C2369F"/>
    <w:rsid w:val="00C25970"/>
    <w:rsid w:val="00C27DB4"/>
    <w:rsid w:val="00C3175B"/>
    <w:rsid w:val="00C329E7"/>
    <w:rsid w:val="00C45BB8"/>
    <w:rsid w:val="00C71BDF"/>
    <w:rsid w:val="00C806A2"/>
    <w:rsid w:val="00C82B8F"/>
    <w:rsid w:val="00C93189"/>
    <w:rsid w:val="00CB332F"/>
    <w:rsid w:val="00CC36FB"/>
    <w:rsid w:val="00CD4F4F"/>
    <w:rsid w:val="00CE2B5E"/>
    <w:rsid w:val="00D02F1E"/>
    <w:rsid w:val="00D132F3"/>
    <w:rsid w:val="00D40BF5"/>
    <w:rsid w:val="00D616EA"/>
    <w:rsid w:val="00D627A2"/>
    <w:rsid w:val="00D6632B"/>
    <w:rsid w:val="00D70B1E"/>
    <w:rsid w:val="00D7447E"/>
    <w:rsid w:val="00D978EA"/>
    <w:rsid w:val="00DA2331"/>
    <w:rsid w:val="00DA31CB"/>
    <w:rsid w:val="00DA6037"/>
    <w:rsid w:val="00DD5688"/>
    <w:rsid w:val="00E0220F"/>
    <w:rsid w:val="00E0274E"/>
    <w:rsid w:val="00E15E88"/>
    <w:rsid w:val="00E301B3"/>
    <w:rsid w:val="00E34E19"/>
    <w:rsid w:val="00E405BF"/>
    <w:rsid w:val="00E409BD"/>
    <w:rsid w:val="00E40A63"/>
    <w:rsid w:val="00E422AE"/>
    <w:rsid w:val="00E46F35"/>
    <w:rsid w:val="00E56D85"/>
    <w:rsid w:val="00E77154"/>
    <w:rsid w:val="00E83680"/>
    <w:rsid w:val="00E92156"/>
    <w:rsid w:val="00EB226E"/>
    <w:rsid w:val="00EB6B41"/>
    <w:rsid w:val="00EB74A8"/>
    <w:rsid w:val="00EC4E26"/>
    <w:rsid w:val="00ED4966"/>
    <w:rsid w:val="00ED7A6F"/>
    <w:rsid w:val="00F14CAF"/>
    <w:rsid w:val="00F14F63"/>
    <w:rsid w:val="00F32686"/>
    <w:rsid w:val="00F34B8C"/>
    <w:rsid w:val="00F432F2"/>
    <w:rsid w:val="00F65827"/>
    <w:rsid w:val="00F70E28"/>
    <w:rsid w:val="00F82C88"/>
    <w:rsid w:val="00FB0A50"/>
    <w:rsid w:val="00FB4276"/>
    <w:rsid w:val="00FC2D1C"/>
    <w:rsid w:val="00FC6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346662-9DFB-4787-B6E7-284087FFD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2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0A6F"/>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8C0A6F"/>
    <w:pPr>
      <w:spacing w:after="0" w:line="240" w:lineRule="auto"/>
      <w:ind w:left="720"/>
      <w:contextualSpacing/>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ED4966"/>
    <w:pPr>
      <w:tabs>
        <w:tab w:val="center" w:pos="4680"/>
        <w:tab w:val="right" w:pos="9360"/>
      </w:tabs>
      <w:spacing w:after="0" w:line="240" w:lineRule="auto"/>
    </w:pPr>
  </w:style>
  <w:style w:type="character" w:customStyle="1" w:styleId="En-tteCar">
    <w:name w:val="En-tête Car"/>
    <w:basedOn w:val="Policepardfaut"/>
    <w:link w:val="En-tte"/>
    <w:uiPriority w:val="99"/>
    <w:rsid w:val="00ED4966"/>
  </w:style>
  <w:style w:type="paragraph" w:styleId="Pieddepage">
    <w:name w:val="footer"/>
    <w:basedOn w:val="Normal"/>
    <w:link w:val="PieddepageCar"/>
    <w:uiPriority w:val="99"/>
    <w:unhideWhenUsed/>
    <w:rsid w:val="00ED496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D4966"/>
  </w:style>
  <w:style w:type="character" w:styleId="Textedelespacerserv">
    <w:name w:val="Placeholder Text"/>
    <w:basedOn w:val="Policepardfaut"/>
    <w:uiPriority w:val="99"/>
    <w:semiHidden/>
    <w:rsid w:val="008561AC"/>
    <w:rPr>
      <w:color w:val="808080"/>
    </w:rPr>
  </w:style>
  <w:style w:type="paragraph" w:styleId="Textedebulles">
    <w:name w:val="Balloon Text"/>
    <w:basedOn w:val="Normal"/>
    <w:link w:val="TextedebullesCar"/>
    <w:uiPriority w:val="99"/>
    <w:semiHidden/>
    <w:unhideWhenUsed/>
    <w:rsid w:val="00022F7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2F73"/>
    <w:rPr>
      <w:rFonts w:ascii="Segoe UI" w:hAnsi="Segoe UI" w:cs="Segoe UI"/>
      <w:sz w:val="18"/>
      <w:szCs w:val="18"/>
    </w:rPr>
  </w:style>
  <w:style w:type="character" w:styleId="Accentuation">
    <w:name w:val="Emphasis"/>
    <w:basedOn w:val="Policepardfaut"/>
    <w:uiPriority w:val="20"/>
    <w:qFormat/>
    <w:rsid w:val="00E15E88"/>
    <w:rPr>
      <w:i/>
      <w:iCs/>
    </w:rPr>
  </w:style>
  <w:style w:type="paragraph" w:styleId="Notedebasdepage">
    <w:name w:val="footnote text"/>
    <w:basedOn w:val="Normal"/>
    <w:link w:val="NotedebasdepageCar"/>
    <w:uiPriority w:val="99"/>
    <w:semiHidden/>
    <w:unhideWhenUsed/>
    <w:rsid w:val="001D2BF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D2BF6"/>
    <w:rPr>
      <w:sz w:val="20"/>
      <w:szCs w:val="20"/>
    </w:rPr>
  </w:style>
  <w:style w:type="character" w:styleId="Appelnotedebasdep">
    <w:name w:val="footnote reference"/>
    <w:basedOn w:val="Policepardfaut"/>
    <w:uiPriority w:val="99"/>
    <w:semiHidden/>
    <w:unhideWhenUsed/>
    <w:rsid w:val="001D2B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2198912">
      <w:bodyDiv w:val="1"/>
      <w:marLeft w:val="0"/>
      <w:marRight w:val="0"/>
      <w:marTop w:val="0"/>
      <w:marBottom w:val="0"/>
      <w:divBdr>
        <w:top w:val="none" w:sz="0" w:space="0" w:color="auto"/>
        <w:left w:val="none" w:sz="0" w:space="0" w:color="auto"/>
        <w:bottom w:val="none" w:sz="0" w:space="0" w:color="auto"/>
        <w:right w:val="none" w:sz="0" w:space="0" w:color="auto"/>
      </w:divBdr>
      <w:divsChild>
        <w:div w:id="364326951">
          <w:marLeft w:val="806"/>
          <w:marRight w:val="0"/>
          <w:marTop w:val="200"/>
          <w:marBottom w:val="0"/>
          <w:divBdr>
            <w:top w:val="none" w:sz="0" w:space="0" w:color="auto"/>
            <w:left w:val="none" w:sz="0" w:space="0" w:color="auto"/>
            <w:bottom w:val="none" w:sz="0" w:space="0" w:color="auto"/>
            <w:right w:val="none" w:sz="0" w:space="0" w:color="auto"/>
          </w:divBdr>
        </w:div>
        <w:div w:id="11147552">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diagramLayout" Target="diagrams/layout1.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048E5A-E005-455F-ACAB-0CCF5050E9B2}" type="doc">
      <dgm:prSet loTypeId="urn:microsoft.com/office/officeart/2005/8/layout/pyramid2" loCatId="list" qsTypeId="urn:microsoft.com/office/officeart/2005/8/quickstyle/simple1" qsCatId="simple" csTypeId="urn:microsoft.com/office/officeart/2005/8/colors/accent1_2" csCatId="accent1" phldr="1"/>
      <dgm:spPr/>
    </dgm:pt>
    <dgm:pt modelId="{EFBB4659-E2AB-43F1-BB15-4927C39C413F}">
      <dgm:prSet phldrT="[Text]"/>
      <dgm:spPr/>
      <dgm:t>
        <a:bodyPr/>
        <a:lstStyle/>
        <a:p>
          <a:r>
            <a:rPr lang="en-US"/>
            <a:t>Key Currency</a:t>
          </a:r>
        </a:p>
      </dgm:t>
    </dgm:pt>
    <dgm:pt modelId="{4BD4E926-FF61-475B-B2D4-7BA08D5A3B93}" type="parTrans" cxnId="{72C203B0-4068-4595-A5A4-EEE5B323D863}">
      <dgm:prSet/>
      <dgm:spPr/>
      <dgm:t>
        <a:bodyPr/>
        <a:lstStyle/>
        <a:p>
          <a:endParaRPr lang="en-US"/>
        </a:p>
      </dgm:t>
    </dgm:pt>
    <dgm:pt modelId="{863E32A6-789E-4223-9049-F963812081BA}" type="sibTrans" cxnId="{72C203B0-4068-4595-A5A4-EEE5B323D863}">
      <dgm:prSet/>
      <dgm:spPr/>
      <dgm:t>
        <a:bodyPr/>
        <a:lstStyle/>
        <a:p>
          <a:endParaRPr lang="en-US"/>
        </a:p>
      </dgm:t>
    </dgm:pt>
    <dgm:pt modelId="{0E7F6FF3-BDA3-4E67-A155-F6515E3D895E}">
      <dgm:prSet phldrT="[Text]"/>
      <dgm:spPr/>
      <dgm:t>
        <a:bodyPr/>
        <a:lstStyle/>
        <a:p>
          <a:r>
            <a:rPr lang="en-US"/>
            <a:t>Currency</a:t>
          </a:r>
        </a:p>
      </dgm:t>
    </dgm:pt>
    <dgm:pt modelId="{E1D999C7-EB63-4122-8C00-72772D85AF51}" type="parTrans" cxnId="{3948B8F1-BA71-403F-923F-A291409FBBD2}">
      <dgm:prSet/>
      <dgm:spPr/>
      <dgm:t>
        <a:bodyPr/>
        <a:lstStyle/>
        <a:p>
          <a:endParaRPr lang="en-US"/>
        </a:p>
      </dgm:t>
    </dgm:pt>
    <dgm:pt modelId="{A0F81F7B-384D-44E3-A626-06F4C26B493D}" type="sibTrans" cxnId="{3948B8F1-BA71-403F-923F-A291409FBBD2}">
      <dgm:prSet/>
      <dgm:spPr/>
      <dgm:t>
        <a:bodyPr/>
        <a:lstStyle/>
        <a:p>
          <a:endParaRPr lang="en-US"/>
        </a:p>
      </dgm:t>
    </dgm:pt>
    <dgm:pt modelId="{7833AFA1-4EEE-46FE-9FF8-484BF7426065}">
      <dgm:prSet phldrT="[Text]"/>
      <dgm:spPr/>
      <dgm:t>
        <a:bodyPr/>
        <a:lstStyle/>
        <a:p>
          <a:r>
            <a:rPr lang="en-US"/>
            <a:t>Securities</a:t>
          </a:r>
        </a:p>
      </dgm:t>
    </dgm:pt>
    <dgm:pt modelId="{C373BB63-6176-4575-B1CE-4DBFB6A354CE}" type="parTrans" cxnId="{A52ECACA-715D-4DC3-8381-4A5554529615}">
      <dgm:prSet/>
      <dgm:spPr/>
      <dgm:t>
        <a:bodyPr/>
        <a:lstStyle/>
        <a:p>
          <a:endParaRPr lang="en-US"/>
        </a:p>
      </dgm:t>
    </dgm:pt>
    <dgm:pt modelId="{042AC911-D9E6-4E0C-8E56-CADAE58BD251}" type="sibTrans" cxnId="{A52ECACA-715D-4DC3-8381-4A5554529615}">
      <dgm:prSet/>
      <dgm:spPr/>
      <dgm:t>
        <a:bodyPr/>
        <a:lstStyle/>
        <a:p>
          <a:endParaRPr lang="en-US"/>
        </a:p>
      </dgm:t>
    </dgm:pt>
    <dgm:pt modelId="{C5F34759-BF2E-49FF-8A9D-7BD9A2CCFFB5}">
      <dgm:prSet/>
      <dgm:spPr/>
      <dgm:t>
        <a:bodyPr/>
        <a:lstStyle/>
        <a:p>
          <a:r>
            <a:rPr lang="en-US"/>
            <a:t>Deposits</a:t>
          </a:r>
        </a:p>
      </dgm:t>
    </dgm:pt>
    <dgm:pt modelId="{20A8F868-3F4E-4F1E-8A20-D8758A40C465}" type="parTrans" cxnId="{F5141E67-A08C-4486-AAF1-7324869A3295}">
      <dgm:prSet/>
      <dgm:spPr/>
      <dgm:t>
        <a:bodyPr/>
        <a:lstStyle/>
        <a:p>
          <a:endParaRPr lang="en-US"/>
        </a:p>
      </dgm:t>
    </dgm:pt>
    <dgm:pt modelId="{E7B16440-B8A4-43A6-BEB9-4B4CEED995AD}" type="sibTrans" cxnId="{F5141E67-A08C-4486-AAF1-7324869A3295}">
      <dgm:prSet/>
      <dgm:spPr/>
      <dgm:t>
        <a:bodyPr/>
        <a:lstStyle/>
        <a:p>
          <a:endParaRPr lang="en-US"/>
        </a:p>
      </dgm:t>
    </dgm:pt>
    <dgm:pt modelId="{C5F34118-D03B-4A3A-A375-B71F528B38A4}" type="pres">
      <dgm:prSet presAssocID="{83048E5A-E005-455F-ACAB-0CCF5050E9B2}" presName="compositeShape" presStyleCnt="0">
        <dgm:presLayoutVars>
          <dgm:dir/>
          <dgm:resizeHandles/>
        </dgm:presLayoutVars>
      </dgm:prSet>
      <dgm:spPr/>
    </dgm:pt>
    <dgm:pt modelId="{3BB7FBBC-892D-4158-A47F-1FA740264D29}" type="pres">
      <dgm:prSet presAssocID="{83048E5A-E005-455F-ACAB-0CCF5050E9B2}" presName="pyramid" presStyleLbl="node1" presStyleIdx="0" presStyleCnt="1"/>
      <dgm:spPr/>
    </dgm:pt>
    <dgm:pt modelId="{6432F488-789F-4583-96A1-1BBFDD2B2BB7}" type="pres">
      <dgm:prSet presAssocID="{83048E5A-E005-455F-ACAB-0CCF5050E9B2}" presName="theList" presStyleCnt="0"/>
      <dgm:spPr/>
    </dgm:pt>
    <dgm:pt modelId="{1C424D5A-EB78-42BA-AE41-88865F48A362}" type="pres">
      <dgm:prSet presAssocID="{EFBB4659-E2AB-43F1-BB15-4927C39C413F}" presName="aNode" presStyleLbl="fgAcc1" presStyleIdx="0" presStyleCnt="4">
        <dgm:presLayoutVars>
          <dgm:bulletEnabled val="1"/>
        </dgm:presLayoutVars>
      </dgm:prSet>
      <dgm:spPr/>
    </dgm:pt>
    <dgm:pt modelId="{6A96B682-E4A5-4ABD-898F-9821E41FA43A}" type="pres">
      <dgm:prSet presAssocID="{EFBB4659-E2AB-43F1-BB15-4927C39C413F}" presName="aSpace" presStyleCnt="0"/>
      <dgm:spPr/>
    </dgm:pt>
    <dgm:pt modelId="{62621237-2744-447B-B23D-9D12DA0299BA}" type="pres">
      <dgm:prSet presAssocID="{0E7F6FF3-BDA3-4E67-A155-F6515E3D895E}" presName="aNode" presStyleLbl="fgAcc1" presStyleIdx="1" presStyleCnt="4">
        <dgm:presLayoutVars>
          <dgm:bulletEnabled val="1"/>
        </dgm:presLayoutVars>
      </dgm:prSet>
      <dgm:spPr/>
    </dgm:pt>
    <dgm:pt modelId="{8B87C751-2A6E-4C35-8206-8040A7CA0814}" type="pres">
      <dgm:prSet presAssocID="{0E7F6FF3-BDA3-4E67-A155-F6515E3D895E}" presName="aSpace" presStyleCnt="0"/>
      <dgm:spPr/>
    </dgm:pt>
    <dgm:pt modelId="{FA0D91D2-877E-4479-9E3D-5D164EAEAEF0}" type="pres">
      <dgm:prSet presAssocID="{C5F34759-BF2E-49FF-8A9D-7BD9A2CCFFB5}" presName="aNode" presStyleLbl="fgAcc1" presStyleIdx="2" presStyleCnt="4">
        <dgm:presLayoutVars>
          <dgm:bulletEnabled val="1"/>
        </dgm:presLayoutVars>
      </dgm:prSet>
      <dgm:spPr/>
    </dgm:pt>
    <dgm:pt modelId="{EC69D550-21A0-4420-A716-525127B7E4F5}" type="pres">
      <dgm:prSet presAssocID="{C5F34759-BF2E-49FF-8A9D-7BD9A2CCFFB5}" presName="aSpace" presStyleCnt="0"/>
      <dgm:spPr/>
    </dgm:pt>
    <dgm:pt modelId="{A614891F-B51E-4CE3-98A5-038FD00C80AE}" type="pres">
      <dgm:prSet presAssocID="{7833AFA1-4EEE-46FE-9FF8-484BF7426065}" presName="aNode" presStyleLbl="fgAcc1" presStyleIdx="3" presStyleCnt="4">
        <dgm:presLayoutVars>
          <dgm:bulletEnabled val="1"/>
        </dgm:presLayoutVars>
      </dgm:prSet>
      <dgm:spPr/>
    </dgm:pt>
    <dgm:pt modelId="{77957559-F0B8-41D0-94AB-ADABEA005B99}" type="pres">
      <dgm:prSet presAssocID="{7833AFA1-4EEE-46FE-9FF8-484BF7426065}" presName="aSpace" presStyleCnt="0"/>
      <dgm:spPr/>
    </dgm:pt>
  </dgm:ptLst>
  <dgm:cxnLst>
    <dgm:cxn modelId="{F5141E67-A08C-4486-AAF1-7324869A3295}" srcId="{83048E5A-E005-455F-ACAB-0CCF5050E9B2}" destId="{C5F34759-BF2E-49FF-8A9D-7BD9A2CCFFB5}" srcOrd="2" destOrd="0" parTransId="{20A8F868-3F4E-4F1E-8A20-D8758A40C465}" sibTransId="{E7B16440-B8A4-43A6-BEB9-4B4CEED995AD}"/>
    <dgm:cxn modelId="{838A7D6E-C3C3-490A-B42C-5495FAE17F29}" type="presOf" srcId="{EFBB4659-E2AB-43F1-BB15-4927C39C413F}" destId="{1C424D5A-EB78-42BA-AE41-88865F48A362}" srcOrd="0" destOrd="0" presId="urn:microsoft.com/office/officeart/2005/8/layout/pyramid2"/>
    <dgm:cxn modelId="{1323B070-2B69-46D9-B25A-C87F9EE8A83D}" type="presOf" srcId="{83048E5A-E005-455F-ACAB-0CCF5050E9B2}" destId="{C5F34118-D03B-4A3A-A375-B71F528B38A4}" srcOrd="0" destOrd="0" presId="urn:microsoft.com/office/officeart/2005/8/layout/pyramid2"/>
    <dgm:cxn modelId="{A9600D52-9300-4F6F-AE24-3870A37D787F}" type="presOf" srcId="{0E7F6FF3-BDA3-4E67-A155-F6515E3D895E}" destId="{62621237-2744-447B-B23D-9D12DA0299BA}" srcOrd="0" destOrd="0" presId="urn:microsoft.com/office/officeart/2005/8/layout/pyramid2"/>
    <dgm:cxn modelId="{7DC63596-B229-4AD4-95FE-F0C7A6862EB5}" type="presOf" srcId="{7833AFA1-4EEE-46FE-9FF8-484BF7426065}" destId="{A614891F-B51E-4CE3-98A5-038FD00C80AE}" srcOrd="0" destOrd="0" presId="urn:microsoft.com/office/officeart/2005/8/layout/pyramid2"/>
    <dgm:cxn modelId="{DEF12AA8-87B0-4CE5-83CA-334320AA1988}" type="presOf" srcId="{C5F34759-BF2E-49FF-8A9D-7BD9A2CCFFB5}" destId="{FA0D91D2-877E-4479-9E3D-5D164EAEAEF0}" srcOrd="0" destOrd="0" presId="urn:microsoft.com/office/officeart/2005/8/layout/pyramid2"/>
    <dgm:cxn modelId="{72C203B0-4068-4595-A5A4-EEE5B323D863}" srcId="{83048E5A-E005-455F-ACAB-0CCF5050E9B2}" destId="{EFBB4659-E2AB-43F1-BB15-4927C39C413F}" srcOrd="0" destOrd="0" parTransId="{4BD4E926-FF61-475B-B2D4-7BA08D5A3B93}" sibTransId="{863E32A6-789E-4223-9049-F963812081BA}"/>
    <dgm:cxn modelId="{A52ECACA-715D-4DC3-8381-4A5554529615}" srcId="{83048E5A-E005-455F-ACAB-0CCF5050E9B2}" destId="{7833AFA1-4EEE-46FE-9FF8-484BF7426065}" srcOrd="3" destOrd="0" parTransId="{C373BB63-6176-4575-B1CE-4DBFB6A354CE}" sibTransId="{042AC911-D9E6-4E0C-8E56-CADAE58BD251}"/>
    <dgm:cxn modelId="{3948B8F1-BA71-403F-923F-A291409FBBD2}" srcId="{83048E5A-E005-455F-ACAB-0CCF5050E9B2}" destId="{0E7F6FF3-BDA3-4E67-A155-F6515E3D895E}" srcOrd="1" destOrd="0" parTransId="{E1D999C7-EB63-4122-8C00-72772D85AF51}" sibTransId="{A0F81F7B-384D-44E3-A626-06F4C26B493D}"/>
    <dgm:cxn modelId="{461C1E61-26DE-44A8-81D0-E4A0F439103E}" type="presParOf" srcId="{C5F34118-D03B-4A3A-A375-B71F528B38A4}" destId="{3BB7FBBC-892D-4158-A47F-1FA740264D29}" srcOrd="0" destOrd="0" presId="urn:microsoft.com/office/officeart/2005/8/layout/pyramid2"/>
    <dgm:cxn modelId="{21DDE7A8-01C2-4294-9054-EB5D76032DD5}" type="presParOf" srcId="{C5F34118-D03B-4A3A-A375-B71F528B38A4}" destId="{6432F488-789F-4583-96A1-1BBFDD2B2BB7}" srcOrd="1" destOrd="0" presId="urn:microsoft.com/office/officeart/2005/8/layout/pyramid2"/>
    <dgm:cxn modelId="{A1EF4901-535E-47D6-920A-7E927E5C5970}" type="presParOf" srcId="{6432F488-789F-4583-96A1-1BBFDD2B2BB7}" destId="{1C424D5A-EB78-42BA-AE41-88865F48A362}" srcOrd="0" destOrd="0" presId="urn:microsoft.com/office/officeart/2005/8/layout/pyramid2"/>
    <dgm:cxn modelId="{D0651413-6D31-41CC-AE8A-683734D2F002}" type="presParOf" srcId="{6432F488-789F-4583-96A1-1BBFDD2B2BB7}" destId="{6A96B682-E4A5-4ABD-898F-9821E41FA43A}" srcOrd="1" destOrd="0" presId="urn:microsoft.com/office/officeart/2005/8/layout/pyramid2"/>
    <dgm:cxn modelId="{A0ECC8EC-69E5-46E0-AED1-B50F798A6BE0}" type="presParOf" srcId="{6432F488-789F-4583-96A1-1BBFDD2B2BB7}" destId="{62621237-2744-447B-B23D-9D12DA0299BA}" srcOrd="2" destOrd="0" presId="urn:microsoft.com/office/officeart/2005/8/layout/pyramid2"/>
    <dgm:cxn modelId="{9276E0EC-E703-44BF-AD4C-216997864707}" type="presParOf" srcId="{6432F488-789F-4583-96A1-1BBFDD2B2BB7}" destId="{8B87C751-2A6E-4C35-8206-8040A7CA0814}" srcOrd="3" destOrd="0" presId="urn:microsoft.com/office/officeart/2005/8/layout/pyramid2"/>
    <dgm:cxn modelId="{3DACE3C9-FDA2-4E1B-8A27-3721D45926ED}" type="presParOf" srcId="{6432F488-789F-4583-96A1-1BBFDD2B2BB7}" destId="{FA0D91D2-877E-4479-9E3D-5D164EAEAEF0}" srcOrd="4" destOrd="0" presId="urn:microsoft.com/office/officeart/2005/8/layout/pyramid2"/>
    <dgm:cxn modelId="{E3126A47-E05E-46B1-90B7-D52B6C510453}" type="presParOf" srcId="{6432F488-789F-4583-96A1-1BBFDD2B2BB7}" destId="{EC69D550-21A0-4420-A716-525127B7E4F5}" srcOrd="5" destOrd="0" presId="urn:microsoft.com/office/officeart/2005/8/layout/pyramid2"/>
    <dgm:cxn modelId="{F12501A2-6DC6-4A82-9789-DA3ABAE5CB83}" type="presParOf" srcId="{6432F488-789F-4583-96A1-1BBFDD2B2BB7}" destId="{A614891F-B51E-4CE3-98A5-038FD00C80AE}" srcOrd="6" destOrd="0" presId="urn:microsoft.com/office/officeart/2005/8/layout/pyramid2"/>
    <dgm:cxn modelId="{AB9143DA-1859-42F4-8624-4B4EBCBEF677}" type="presParOf" srcId="{6432F488-789F-4583-96A1-1BBFDD2B2BB7}" destId="{77957559-F0B8-41D0-94AB-ADABEA005B99}" srcOrd="7" destOrd="0" presId="urn:microsoft.com/office/officeart/2005/8/layout/pyramid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18BEEE-D872-4930-B343-456E73F2E58F}"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0B2AB443-4BFF-47CB-B5D1-B03B19365DCF}">
      <dgm:prSet phldrT="[Text]"/>
      <dgm:spPr/>
      <dgm:t>
        <a:bodyPr/>
        <a:lstStyle/>
        <a:p>
          <a:r>
            <a:rPr lang="en-US"/>
            <a:t>USD</a:t>
          </a:r>
        </a:p>
      </dgm:t>
    </dgm:pt>
    <dgm:pt modelId="{77AF7D2D-B31B-4B56-B09E-3E0183889D29}" type="parTrans" cxnId="{CF9F5037-39E5-4E77-8369-5B342B35B2D7}">
      <dgm:prSet/>
      <dgm:spPr/>
      <dgm:t>
        <a:bodyPr/>
        <a:lstStyle/>
        <a:p>
          <a:endParaRPr lang="en-US"/>
        </a:p>
      </dgm:t>
    </dgm:pt>
    <dgm:pt modelId="{E4C4FAE5-2AB3-423E-ABDD-763E834C65EF}" type="sibTrans" cxnId="{CF9F5037-39E5-4E77-8369-5B342B35B2D7}">
      <dgm:prSet/>
      <dgm:spPr/>
      <dgm:t>
        <a:bodyPr/>
        <a:lstStyle/>
        <a:p>
          <a:endParaRPr lang="en-US"/>
        </a:p>
      </dgm:t>
    </dgm:pt>
    <dgm:pt modelId="{07FB6011-D5A4-4B8F-B010-CD535CACE268}">
      <dgm:prSet phldrT="[Text]"/>
      <dgm:spPr/>
      <dgm:t>
        <a:bodyPr/>
        <a:lstStyle/>
        <a:p>
          <a:r>
            <a:rPr lang="en-US"/>
            <a:t>EUR, JPY, GBP, CHF, AUD, CAD</a:t>
          </a:r>
        </a:p>
      </dgm:t>
    </dgm:pt>
    <dgm:pt modelId="{719810A7-2C24-4CE1-AEC5-8503964079FE}" type="parTrans" cxnId="{48E31580-9187-44CC-919D-96E5733C9981}">
      <dgm:prSet/>
      <dgm:spPr/>
      <dgm:t>
        <a:bodyPr/>
        <a:lstStyle/>
        <a:p>
          <a:endParaRPr lang="en-US"/>
        </a:p>
      </dgm:t>
    </dgm:pt>
    <dgm:pt modelId="{61B4D5BC-FCB7-4CF3-BEC2-1340C7AFB95C}" type="sibTrans" cxnId="{48E31580-9187-44CC-919D-96E5733C9981}">
      <dgm:prSet/>
      <dgm:spPr/>
      <dgm:t>
        <a:bodyPr/>
        <a:lstStyle/>
        <a:p>
          <a:endParaRPr lang="en-US"/>
        </a:p>
      </dgm:t>
    </dgm:pt>
    <dgm:pt modelId="{C2D813C3-DDF4-4239-B289-7E5A6E61A76C}">
      <dgm:prSet phldrT="[Text]"/>
      <dgm:spPr/>
      <dgm:t>
        <a:bodyPr/>
        <a:lstStyle/>
        <a:p>
          <a:r>
            <a:rPr lang="en-US"/>
            <a:t>Global South</a:t>
          </a:r>
        </a:p>
      </dgm:t>
    </dgm:pt>
    <dgm:pt modelId="{3C6F032B-FAE4-4EE6-810E-CDBBFF385F10}" type="parTrans" cxnId="{0B804C01-3D03-45F2-A89C-CF0192C2315A}">
      <dgm:prSet/>
      <dgm:spPr/>
      <dgm:t>
        <a:bodyPr/>
        <a:lstStyle/>
        <a:p>
          <a:endParaRPr lang="en-US"/>
        </a:p>
      </dgm:t>
    </dgm:pt>
    <dgm:pt modelId="{EE6D7BB2-147E-4AE4-952E-838E9BA6207F}" type="sibTrans" cxnId="{0B804C01-3D03-45F2-A89C-CF0192C2315A}">
      <dgm:prSet/>
      <dgm:spPr/>
      <dgm:t>
        <a:bodyPr/>
        <a:lstStyle/>
        <a:p>
          <a:endParaRPr lang="en-US"/>
        </a:p>
      </dgm:t>
    </dgm:pt>
    <dgm:pt modelId="{DD007197-3461-4394-AEEE-C67F18CC7A62}">
      <dgm:prSet/>
      <dgm:spPr/>
      <dgm:t>
        <a:bodyPr/>
        <a:lstStyle/>
        <a:p>
          <a:r>
            <a:rPr lang="en-US"/>
            <a:t>Other</a:t>
          </a:r>
        </a:p>
      </dgm:t>
    </dgm:pt>
    <dgm:pt modelId="{49B1E1DC-FE62-4664-A075-2A91B1A36FD7}" type="parTrans" cxnId="{83771FD8-A16C-4B4E-8C92-7CC28396E242}">
      <dgm:prSet/>
      <dgm:spPr/>
      <dgm:t>
        <a:bodyPr/>
        <a:lstStyle/>
        <a:p>
          <a:endParaRPr lang="en-US"/>
        </a:p>
      </dgm:t>
    </dgm:pt>
    <dgm:pt modelId="{BBF4E1B6-CE98-4D42-8761-B9F2D93B9C6D}" type="sibTrans" cxnId="{83771FD8-A16C-4B4E-8C92-7CC28396E242}">
      <dgm:prSet/>
      <dgm:spPr/>
      <dgm:t>
        <a:bodyPr/>
        <a:lstStyle/>
        <a:p>
          <a:endParaRPr lang="en-US"/>
        </a:p>
      </dgm:t>
    </dgm:pt>
    <dgm:pt modelId="{E12A98D2-3C27-42C7-B868-4A6D835A1576}" type="pres">
      <dgm:prSet presAssocID="{2518BEEE-D872-4930-B343-456E73F2E58F}" presName="compositeShape" presStyleCnt="0">
        <dgm:presLayoutVars>
          <dgm:dir/>
          <dgm:resizeHandles/>
        </dgm:presLayoutVars>
      </dgm:prSet>
      <dgm:spPr/>
    </dgm:pt>
    <dgm:pt modelId="{AF2BED8C-F187-4BDA-8D0F-6A8D2944A00F}" type="pres">
      <dgm:prSet presAssocID="{2518BEEE-D872-4930-B343-456E73F2E58F}" presName="pyramid" presStyleLbl="node1" presStyleIdx="0" presStyleCnt="1"/>
      <dgm:spPr/>
    </dgm:pt>
    <dgm:pt modelId="{518ACA6D-818A-44BE-BE23-B412C63B9012}" type="pres">
      <dgm:prSet presAssocID="{2518BEEE-D872-4930-B343-456E73F2E58F}" presName="theList" presStyleCnt="0"/>
      <dgm:spPr/>
    </dgm:pt>
    <dgm:pt modelId="{812978E8-D937-414E-B0F4-587A4F0135A7}" type="pres">
      <dgm:prSet presAssocID="{0B2AB443-4BFF-47CB-B5D1-B03B19365DCF}" presName="aNode" presStyleLbl="fgAcc1" presStyleIdx="0" presStyleCnt="4">
        <dgm:presLayoutVars>
          <dgm:bulletEnabled val="1"/>
        </dgm:presLayoutVars>
      </dgm:prSet>
      <dgm:spPr/>
    </dgm:pt>
    <dgm:pt modelId="{5E294062-3B0A-4D41-9C14-17EBED19B668}" type="pres">
      <dgm:prSet presAssocID="{0B2AB443-4BFF-47CB-B5D1-B03B19365DCF}" presName="aSpace" presStyleCnt="0"/>
      <dgm:spPr/>
    </dgm:pt>
    <dgm:pt modelId="{8548377B-E4B4-4288-8F4A-2D9FB489343D}" type="pres">
      <dgm:prSet presAssocID="{07FB6011-D5A4-4B8F-B010-CD535CACE268}" presName="aNode" presStyleLbl="fgAcc1" presStyleIdx="1" presStyleCnt="4">
        <dgm:presLayoutVars>
          <dgm:bulletEnabled val="1"/>
        </dgm:presLayoutVars>
      </dgm:prSet>
      <dgm:spPr/>
    </dgm:pt>
    <dgm:pt modelId="{1C94B250-A831-4675-B71C-227B1FE59911}" type="pres">
      <dgm:prSet presAssocID="{07FB6011-D5A4-4B8F-B010-CD535CACE268}" presName="aSpace" presStyleCnt="0"/>
      <dgm:spPr/>
    </dgm:pt>
    <dgm:pt modelId="{267E7229-4552-4C51-AD7C-9125EE519141}" type="pres">
      <dgm:prSet presAssocID="{C2D813C3-DDF4-4239-B289-7E5A6E61A76C}" presName="aNode" presStyleLbl="fgAcc1" presStyleIdx="2" presStyleCnt="4">
        <dgm:presLayoutVars>
          <dgm:bulletEnabled val="1"/>
        </dgm:presLayoutVars>
      </dgm:prSet>
      <dgm:spPr/>
    </dgm:pt>
    <dgm:pt modelId="{94C75238-020D-4F3A-93F9-8DE67426F84D}" type="pres">
      <dgm:prSet presAssocID="{C2D813C3-DDF4-4239-B289-7E5A6E61A76C}" presName="aSpace" presStyleCnt="0"/>
      <dgm:spPr/>
    </dgm:pt>
    <dgm:pt modelId="{81724E52-8D79-4AF3-B312-A83AF45FED09}" type="pres">
      <dgm:prSet presAssocID="{DD007197-3461-4394-AEEE-C67F18CC7A62}" presName="aNode" presStyleLbl="fgAcc1" presStyleIdx="3" presStyleCnt="4">
        <dgm:presLayoutVars>
          <dgm:bulletEnabled val="1"/>
        </dgm:presLayoutVars>
      </dgm:prSet>
      <dgm:spPr/>
    </dgm:pt>
    <dgm:pt modelId="{368301E2-F617-42B5-B781-44088F028267}" type="pres">
      <dgm:prSet presAssocID="{DD007197-3461-4394-AEEE-C67F18CC7A62}" presName="aSpace" presStyleCnt="0"/>
      <dgm:spPr/>
    </dgm:pt>
  </dgm:ptLst>
  <dgm:cxnLst>
    <dgm:cxn modelId="{0B804C01-3D03-45F2-A89C-CF0192C2315A}" srcId="{2518BEEE-D872-4930-B343-456E73F2E58F}" destId="{C2D813C3-DDF4-4239-B289-7E5A6E61A76C}" srcOrd="2" destOrd="0" parTransId="{3C6F032B-FAE4-4EE6-810E-CDBBFF385F10}" sibTransId="{EE6D7BB2-147E-4AE4-952E-838E9BA6207F}"/>
    <dgm:cxn modelId="{4A553533-37D7-4AC2-BB88-24E95E6D99B0}" type="presOf" srcId="{DD007197-3461-4394-AEEE-C67F18CC7A62}" destId="{81724E52-8D79-4AF3-B312-A83AF45FED09}" srcOrd="0" destOrd="0" presId="urn:microsoft.com/office/officeart/2005/8/layout/pyramid2"/>
    <dgm:cxn modelId="{CF9F5037-39E5-4E77-8369-5B342B35B2D7}" srcId="{2518BEEE-D872-4930-B343-456E73F2E58F}" destId="{0B2AB443-4BFF-47CB-B5D1-B03B19365DCF}" srcOrd="0" destOrd="0" parTransId="{77AF7D2D-B31B-4B56-B09E-3E0183889D29}" sibTransId="{E4C4FAE5-2AB3-423E-ABDD-763E834C65EF}"/>
    <dgm:cxn modelId="{48E31580-9187-44CC-919D-96E5733C9981}" srcId="{2518BEEE-D872-4930-B343-456E73F2E58F}" destId="{07FB6011-D5A4-4B8F-B010-CD535CACE268}" srcOrd="1" destOrd="0" parTransId="{719810A7-2C24-4CE1-AEC5-8503964079FE}" sibTransId="{61B4D5BC-FCB7-4CF3-BEC2-1340C7AFB95C}"/>
    <dgm:cxn modelId="{8122D781-C3BE-40C3-8D7B-CB196FF32A0A}" type="presOf" srcId="{0B2AB443-4BFF-47CB-B5D1-B03B19365DCF}" destId="{812978E8-D937-414E-B0F4-587A4F0135A7}" srcOrd="0" destOrd="0" presId="urn:microsoft.com/office/officeart/2005/8/layout/pyramid2"/>
    <dgm:cxn modelId="{40642C8A-CC44-4ACA-8606-D43753655786}" type="presOf" srcId="{07FB6011-D5A4-4B8F-B010-CD535CACE268}" destId="{8548377B-E4B4-4288-8F4A-2D9FB489343D}" srcOrd="0" destOrd="0" presId="urn:microsoft.com/office/officeart/2005/8/layout/pyramid2"/>
    <dgm:cxn modelId="{B9DBD2B9-F96D-4283-990D-333DC038D668}" type="presOf" srcId="{2518BEEE-D872-4930-B343-456E73F2E58F}" destId="{E12A98D2-3C27-42C7-B868-4A6D835A1576}" srcOrd="0" destOrd="0" presId="urn:microsoft.com/office/officeart/2005/8/layout/pyramid2"/>
    <dgm:cxn modelId="{83771FD8-A16C-4B4E-8C92-7CC28396E242}" srcId="{2518BEEE-D872-4930-B343-456E73F2E58F}" destId="{DD007197-3461-4394-AEEE-C67F18CC7A62}" srcOrd="3" destOrd="0" parTransId="{49B1E1DC-FE62-4664-A075-2A91B1A36FD7}" sibTransId="{BBF4E1B6-CE98-4D42-8761-B9F2D93B9C6D}"/>
    <dgm:cxn modelId="{B040FEEE-4879-4D59-B5D3-43CE3445DBC3}" type="presOf" srcId="{C2D813C3-DDF4-4239-B289-7E5A6E61A76C}" destId="{267E7229-4552-4C51-AD7C-9125EE519141}" srcOrd="0" destOrd="0" presId="urn:microsoft.com/office/officeart/2005/8/layout/pyramid2"/>
    <dgm:cxn modelId="{C950FECE-D26C-4E4C-B595-BD1780F6D44E}" type="presParOf" srcId="{E12A98D2-3C27-42C7-B868-4A6D835A1576}" destId="{AF2BED8C-F187-4BDA-8D0F-6A8D2944A00F}" srcOrd="0" destOrd="0" presId="urn:microsoft.com/office/officeart/2005/8/layout/pyramid2"/>
    <dgm:cxn modelId="{FD6CA40C-FFCB-4B52-B0AC-43147D7357FD}" type="presParOf" srcId="{E12A98D2-3C27-42C7-B868-4A6D835A1576}" destId="{518ACA6D-818A-44BE-BE23-B412C63B9012}" srcOrd="1" destOrd="0" presId="urn:microsoft.com/office/officeart/2005/8/layout/pyramid2"/>
    <dgm:cxn modelId="{4D424721-8E4C-47CC-B758-661539F50F65}" type="presParOf" srcId="{518ACA6D-818A-44BE-BE23-B412C63B9012}" destId="{812978E8-D937-414E-B0F4-587A4F0135A7}" srcOrd="0" destOrd="0" presId="urn:microsoft.com/office/officeart/2005/8/layout/pyramid2"/>
    <dgm:cxn modelId="{E25D6BA3-41FE-4ED7-B752-9F9CA6D0DC0E}" type="presParOf" srcId="{518ACA6D-818A-44BE-BE23-B412C63B9012}" destId="{5E294062-3B0A-4D41-9C14-17EBED19B668}" srcOrd="1" destOrd="0" presId="urn:microsoft.com/office/officeart/2005/8/layout/pyramid2"/>
    <dgm:cxn modelId="{A933C278-7F3E-4868-9C75-AAA44F491BC9}" type="presParOf" srcId="{518ACA6D-818A-44BE-BE23-B412C63B9012}" destId="{8548377B-E4B4-4288-8F4A-2D9FB489343D}" srcOrd="2" destOrd="0" presId="urn:microsoft.com/office/officeart/2005/8/layout/pyramid2"/>
    <dgm:cxn modelId="{0BF836AC-C1EF-4218-B35A-AB0C662731FF}" type="presParOf" srcId="{518ACA6D-818A-44BE-BE23-B412C63B9012}" destId="{1C94B250-A831-4675-B71C-227B1FE59911}" srcOrd="3" destOrd="0" presId="urn:microsoft.com/office/officeart/2005/8/layout/pyramid2"/>
    <dgm:cxn modelId="{7F2AF258-1BCA-4102-ADFA-0E4A4D847C1B}" type="presParOf" srcId="{518ACA6D-818A-44BE-BE23-B412C63B9012}" destId="{267E7229-4552-4C51-AD7C-9125EE519141}" srcOrd="4" destOrd="0" presId="urn:microsoft.com/office/officeart/2005/8/layout/pyramid2"/>
    <dgm:cxn modelId="{11BA68C3-AD67-4224-B30D-A0649C2BBED8}" type="presParOf" srcId="{518ACA6D-818A-44BE-BE23-B412C63B9012}" destId="{94C75238-020D-4F3A-93F9-8DE67426F84D}" srcOrd="5" destOrd="0" presId="urn:microsoft.com/office/officeart/2005/8/layout/pyramid2"/>
    <dgm:cxn modelId="{86588C61-135A-450A-9EE2-38455837F535}" type="presParOf" srcId="{518ACA6D-818A-44BE-BE23-B412C63B9012}" destId="{81724E52-8D79-4AF3-B312-A83AF45FED09}" srcOrd="6" destOrd="0" presId="urn:microsoft.com/office/officeart/2005/8/layout/pyramid2"/>
    <dgm:cxn modelId="{7266CB5B-F310-459A-9A12-C86B3A42D09C}" type="presParOf" srcId="{518ACA6D-818A-44BE-BE23-B412C63B9012}" destId="{368301E2-F617-42B5-B781-44088F028267}" srcOrd="7"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7FBBC-892D-4158-A47F-1FA740264D29}">
      <dsp:nvSpPr>
        <dsp:cNvPr id="0" name=""/>
        <dsp:cNvSpPr/>
      </dsp:nvSpPr>
      <dsp:spPr>
        <a:xfrm>
          <a:off x="902969"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424D5A-EB78-42BA-AE41-88865F48A362}">
      <dsp:nvSpPr>
        <dsp:cNvPr id="0" name=""/>
        <dsp:cNvSpPr/>
      </dsp:nvSpPr>
      <dsp:spPr>
        <a:xfrm>
          <a:off x="2503170" y="320352"/>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Key Currency</a:t>
          </a:r>
        </a:p>
      </dsp:txBody>
      <dsp:txXfrm>
        <a:off x="2530938" y="348120"/>
        <a:ext cx="2024724" cy="513285"/>
      </dsp:txXfrm>
    </dsp:sp>
    <dsp:sp modelId="{62621237-2744-447B-B23D-9D12DA0299BA}">
      <dsp:nvSpPr>
        <dsp:cNvPr id="0" name=""/>
        <dsp:cNvSpPr/>
      </dsp:nvSpPr>
      <dsp:spPr>
        <a:xfrm>
          <a:off x="2503170" y="960276"/>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Currency</a:t>
          </a:r>
        </a:p>
      </dsp:txBody>
      <dsp:txXfrm>
        <a:off x="2530938" y="988044"/>
        <a:ext cx="2024724" cy="513285"/>
      </dsp:txXfrm>
    </dsp:sp>
    <dsp:sp modelId="{FA0D91D2-877E-4479-9E3D-5D164EAEAEF0}">
      <dsp:nvSpPr>
        <dsp:cNvPr id="0" name=""/>
        <dsp:cNvSpPr/>
      </dsp:nvSpPr>
      <dsp:spPr>
        <a:xfrm>
          <a:off x="2503170" y="1600200"/>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Deposits</a:t>
          </a:r>
        </a:p>
      </dsp:txBody>
      <dsp:txXfrm>
        <a:off x="2530938" y="1627968"/>
        <a:ext cx="2024724" cy="513285"/>
      </dsp:txXfrm>
    </dsp:sp>
    <dsp:sp modelId="{A614891F-B51E-4CE3-98A5-038FD00C80AE}">
      <dsp:nvSpPr>
        <dsp:cNvPr id="0" name=""/>
        <dsp:cNvSpPr/>
      </dsp:nvSpPr>
      <dsp:spPr>
        <a:xfrm>
          <a:off x="2503170" y="2240123"/>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Securities</a:t>
          </a:r>
        </a:p>
      </dsp:txBody>
      <dsp:txXfrm>
        <a:off x="2530938" y="2267891"/>
        <a:ext cx="2024724" cy="5132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2BED8C-F187-4BDA-8D0F-6A8D2944A00F}">
      <dsp:nvSpPr>
        <dsp:cNvPr id="0" name=""/>
        <dsp:cNvSpPr/>
      </dsp:nvSpPr>
      <dsp:spPr>
        <a:xfrm>
          <a:off x="902969"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2978E8-D937-414E-B0F4-587A4F0135A7}">
      <dsp:nvSpPr>
        <dsp:cNvPr id="0" name=""/>
        <dsp:cNvSpPr/>
      </dsp:nvSpPr>
      <dsp:spPr>
        <a:xfrm>
          <a:off x="2503170" y="320352"/>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USD</a:t>
          </a:r>
        </a:p>
      </dsp:txBody>
      <dsp:txXfrm>
        <a:off x="2530938" y="348120"/>
        <a:ext cx="2024724" cy="513285"/>
      </dsp:txXfrm>
    </dsp:sp>
    <dsp:sp modelId="{8548377B-E4B4-4288-8F4A-2D9FB489343D}">
      <dsp:nvSpPr>
        <dsp:cNvPr id="0" name=""/>
        <dsp:cNvSpPr/>
      </dsp:nvSpPr>
      <dsp:spPr>
        <a:xfrm>
          <a:off x="2503170" y="960276"/>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EUR, JPY, GBP, CHF, AUD, CAD</a:t>
          </a:r>
        </a:p>
      </dsp:txBody>
      <dsp:txXfrm>
        <a:off x="2530938" y="988044"/>
        <a:ext cx="2024724" cy="513285"/>
      </dsp:txXfrm>
    </dsp:sp>
    <dsp:sp modelId="{267E7229-4552-4C51-AD7C-9125EE519141}">
      <dsp:nvSpPr>
        <dsp:cNvPr id="0" name=""/>
        <dsp:cNvSpPr/>
      </dsp:nvSpPr>
      <dsp:spPr>
        <a:xfrm>
          <a:off x="2503170" y="1600200"/>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Global South</a:t>
          </a:r>
        </a:p>
      </dsp:txBody>
      <dsp:txXfrm>
        <a:off x="2530938" y="1627968"/>
        <a:ext cx="2024724" cy="513285"/>
      </dsp:txXfrm>
    </dsp:sp>
    <dsp:sp modelId="{81724E52-8D79-4AF3-B312-A83AF45FED09}">
      <dsp:nvSpPr>
        <dsp:cNvPr id="0" name=""/>
        <dsp:cNvSpPr/>
      </dsp:nvSpPr>
      <dsp:spPr>
        <a:xfrm>
          <a:off x="2503170" y="2240123"/>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Other</a:t>
          </a:r>
        </a:p>
      </dsp:txBody>
      <dsp:txXfrm>
        <a:off x="2530938" y="2267891"/>
        <a:ext cx="2024724" cy="51328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13ACA-A5B9-4A52-825B-F65CAD45E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14046</Words>
  <Characters>77256</Characters>
  <Application>Microsoft Office Word</Application>
  <DocSecurity>0</DocSecurity>
  <Lines>643</Lines>
  <Paragraphs>182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Boston University</Company>
  <LinksUpToDate>false</LinksUpToDate>
  <CharactersWithSpaces>91120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pmehrlin</dc:creator>
  <cp:keywords/>
  <dc:description/>
  <cp:lastModifiedBy>Goulven Rubin</cp:lastModifiedBy>
  <cp:revision>2</cp:revision>
  <cp:lastPrinted>2024-02-28T18:21:00Z</cp:lastPrinted>
  <dcterms:created xsi:type="dcterms:W3CDTF">2024-04-15T12:22:00Z</dcterms:created>
  <dcterms:modified xsi:type="dcterms:W3CDTF">2024-04-15T12:22:00Z</dcterms:modified>
</cp:coreProperties>
</file>